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6ADD9" w14:textId="77777777" w:rsidR="00EA6C9D" w:rsidRDefault="00EA6C9D"/>
    <w:p w14:paraId="216C6DDF" w14:textId="77777777" w:rsidR="00A84AD6" w:rsidRDefault="00A84AD6" w:rsidP="00A84AD6">
      <w:pPr>
        <w:rPr>
          <w:rFonts w:ascii="Calibri" w:hAnsi="Calibri" w:cs="Calibri"/>
        </w:rPr>
      </w:pPr>
    </w:p>
    <w:p w14:paraId="5FB202E6" w14:textId="77777777" w:rsidR="00A84AD6" w:rsidRDefault="00A84AD6" w:rsidP="00A84AD6">
      <w:pPr>
        <w:rPr>
          <w:rFonts w:ascii="Calibri" w:hAnsi="Calibri" w:cs="Calibri"/>
        </w:rPr>
      </w:pPr>
    </w:p>
    <w:p w14:paraId="2BECDCED" w14:textId="77777777" w:rsidR="00C52A6C" w:rsidRDefault="00C52A6C" w:rsidP="00A84AD6">
      <w:pPr>
        <w:rPr>
          <w:rFonts w:ascii="Calibri" w:hAnsi="Calibri" w:cs="Calibri"/>
        </w:rPr>
      </w:pPr>
    </w:p>
    <w:p w14:paraId="14BFC069" w14:textId="77777777" w:rsidR="00A01109" w:rsidRDefault="00A01109" w:rsidP="00A84AD6">
      <w:pPr>
        <w:rPr>
          <w:rFonts w:ascii="Calibri" w:hAnsi="Calibri" w:cs="Calibri"/>
        </w:rPr>
      </w:pPr>
    </w:p>
    <w:p w14:paraId="1B454653" w14:textId="77777777" w:rsidR="00A01109" w:rsidRDefault="00A01109" w:rsidP="00A84AD6">
      <w:pPr>
        <w:rPr>
          <w:rFonts w:ascii="Calibri" w:hAnsi="Calibri" w:cs="Calibri"/>
        </w:rPr>
      </w:pPr>
    </w:p>
    <w:p w14:paraId="7B47A895" w14:textId="77777777" w:rsidR="00A01109" w:rsidRDefault="00A01109" w:rsidP="00A01109">
      <w:pPr>
        <w:rPr>
          <w:rFonts w:ascii="Calibri" w:hAnsi="Calibri" w:cs="Calibri"/>
        </w:rPr>
      </w:pPr>
    </w:p>
    <w:p w14:paraId="071B4F26" w14:textId="77777777" w:rsidR="00A01109" w:rsidRDefault="00A01109" w:rsidP="00A01109">
      <w:pPr>
        <w:rPr>
          <w:rFonts w:ascii="Calibri" w:hAnsi="Calibri" w:cs="Calibri"/>
        </w:rPr>
      </w:pPr>
    </w:p>
    <w:p w14:paraId="3DB81163" w14:textId="77777777" w:rsidR="00A01109" w:rsidRDefault="00A01109" w:rsidP="00A01109">
      <w:pPr>
        <w:rPr>
          <w:rFonts w:ascii="Calibri" w:hAnsi="Calibri" w:cs="Calibri"/>
        </w:rPr>
      </w:pPr>
    </w:p>
    <w:p w14:paraId="6196F758" w14:textId="77777777" w:rsidR="00A01109" w:rsidRDefault="00A01109" w:rsidP="00A01109">
      <w:pPr>
        <w:rPr>
          <w:rFonts w:ascii="Calibri" w:hAnsi="Calibri" w:cs="Calibri"/>
        </w:rPr>
      </w:pPr>
    </w:p>
    <w:p w14:paraId="779BD55D" w14:textId="77777777" w:rsidR="00A01109" w:rsidRDefault="00A01109" w:rsidP="00A01109">
      <w:pPr>
        <w:rPr>
          <w:rFonts w:ascii="Calibri" w:hAnsi="Calibri" w:cs="Calibri"/>
        </w:rPr>
      </w:pPr>
    </w:p>
    <w:p w14:paraId="30554E4B" w14:textId="77777777" w:rsidR="00A01109" w:rsidRDefault="00A01109" w:rsidP="00A01109">
      <w:pPr>
        <w:rPr>
          <w:rFonts w:ascii="Calibri" w:hAnsi="Calibri" w:cs="Calibri"/>
        </w:rPr>
      </w:pPr>
    </w:p>
    <w:p w14:paraId="53A95050" w14:textId="77777777" w:rsidR="00A01109" w:rsidRDefault="00A01109" w:rsidP="00A01109">
      <w:pPr>
        <w:rPr>
          <w:rFonts w:ascii="Calibri" w:hAnsi="Calibri" w:cs="Calibri"/>
        </w:rPr>
      </w:pPr>
    </w:p>
    <w:p w14:paraId="217AE854" w14:textId="77777777" w:rsidR="00A01109" w:rsidRDefault="00A01109" w:rsidP="00A01109">
      <w:pPr>
        <w:rPr>
          <w:rFonts w:ascii="Calibri" w:hAnsi="Calibri" w:cs="Calibri"/>
        </w:rPr>
      </w:pPr>
    </w:p>
    <w:p w14:paraId="032F9B23" w14:textId="77777777" w:rsidR="00A01109" w:rsidRDefault="00A01109" w:rsidP="00A01109">
      <w:pPr>
        <w:rPr>
          <w:rFonts w:ascii="Calibri" w:hAnsi="Calibri" w:cs="Calibri"/>
        </w:rPr>
      </w:pPr>
    </w:p>
    <w:p w14:paraId="545F3F2B" w14:textId="77777777" w:rsidR="00A01109" w:rsidRDefault="00A01109" w:rsidP="00A01109">
      <w:pPr>
        <w:rPr>
          <w:rFonts w:ascii="Calibri" w:hAnsi="Calibri" w:cs="Calibri"/>
        </w:rPr>
      </w:pPr>
    </w:p>
    <w:p w14:paraId="650729F7" w14:textId="77777777" w:rsidR="00A01109" w:rsidRDefault="00A01109" w:rsidP="00A01109">
      <w:pPr>
        <w:rPr>
          <w:rFonts w:ascii="Calibri" w:hAnsi="Calibri" w:cs="Calibri"/>
        </w:rPr>
      </w:pPr>
    </w:p>
    <w:p w14:paraId="5EE1D54D" w14:textId="77777777" w:rsidR="00A01109" w:rsidRDefault="00A01109" w:rsidP="00A01109">
      <w:pPr>
        <w:rPr>
          <w:rFonts w:ascii="Calibri" w:hAnsi="Calibri" w:cs="Calibri"/>
        </w:rPr>
      </w:pPr>
    </w:p>
    <w:p w14:paraId="18C0CC62" w14:textId="77777777" w:rsidR="00A01109" w:rsidRPr="005952A6" w:rsidRDefault="00A01109" w:rsidP="00A01109">
      <w:pPr>
        <w:rPr>
          <w:rFonts w:ascii="Calibri" w:hAnsi="Calibri" w:cs="Calibri"/>
        </w:rPr>
      </w:pPr>
    </w:p>
    <w:p w14:paraId="597FDFBA" w14:textId="77777777" w:rsidR="00A01109" w:rsidRPr="005952A6" w:rsidRDefault="00A01109" w:rsidP="00A01109">
      <w:pPr>
        <w:rPr>
          <w:rFonts w:ascii="Calibri" w:hAnsi="Calibri" w:cs="Calibri"/>
        </w:rPr>
      </w:pPr>
    </w:p>
    <w:p w14:paraId="19B6B777" w14:textId="77777777" w:rsidR="00A01109" w:rsidRPr="005952A6" w:rsidRDefault="00A01109" w:rsidP="00A01109">
      <w:pPr>
        <w:rPr>
          <w:rFonts w:ascii="Calibri" w:hAnsi="Calibri" w:cs="Calibri"/>
        </w:rPr>
      </w:pPr>
    </w:p>
    <w:p w14:paraId="11A9225B" w14:textId="77777777" w:rsidR="00A01109" w:rsidRPr="00D17ED7" w:rsidRDefault="00A01109" w:rsidP="00A01109">
      <w:pPr>
        <w:jc w:val="center"/>
        <w:rPr>
          <w:rFonts w:ascii="Calibri" w:hAnsi="Calibri" w:cs="Calibri"/>
          <w:b/>
          <w:sz w:val="40"/>
          <w:szCs w:val="40"/>
          <w:lang w:val="pl-PL"/>
        </w:rPr>
      </w:pPr>
      <w:r w:rsidRPr="00D17ED7">
        <w:rPr>
          <w:rFonts w:ascii="Calibri" w:hAnsi="Calibri" w:cs="Calibri"/>
          <w:b/>
          <w:sz w:val="40"/>
          <w:szCs w:val="40"/>
          <w:lang w:val="pl-PL"/>
        </w:rPr>
        <w:t>Obrazloženje prijedloga</w:t>
      </w:r>
      <w:r>
        <w:rPr>
          <w:rFonts w:ascii="Calibri" w:hAnsi="Calibri" w:cs="Calibri"/>
          <w:b/>
          <w:sz w:val="40"/>
          <w:szCs w:val="40"/>
          <w:lang w:val="pl-PL"/>
        </w:rPr>
        <w:t xml:space="preserve"> </w:t>
      </w:r>
      <w:r w:rsidRPr="00D17ED7">
        <w:rPr>
          <w:rFonts w:ascii="Calibri" w:hAnsi="Calibri" w:cs="Calibri"/>
          <w:b/>
          <w:sz w:val="40"/>
          <w:szCs w:val="40"/>
          <w:lang w:val="pl-PL"/>
        </w:rPr>
        <w:t>financijskog</w:t>
      </w:r>
      <w:r w:rsidRPr="00D17ED7">
        <w:rPr>
          <w:rFonts w:ascii="Calibri" w:hAnsi="Calibri" w:cs="Calibri"/>
          <w:b/>
          <w:sz w:val="40"/>
          <w:szCs w:val="40"/>
        </w:rPr>
        <w:t xml:space="preserve"> plana i programa</w:t>
      </w:r>
    </w:p>
    <w:p w14:paraId="2097B389" w14:textId="77777777" w:rsidR="00A01109" w:rsidRPr="00D17ED7" w:rsidRDefault="00A01109" w:rsidP="00A01109">
      <w:pPr>
        <w:jc w:val="center"/>
        <w:rPr>
          <w:rFonts w:ascii="Calibri" w:hAnsi="Calibri" w:cs="Calibri"/>
          <w:b/>
          <w:sz w:val="40"/>
          <w:szCs w:val="40"/>
          <w:lang w:val="pl-PL"/>
        </w:rPr>
      </w:pPr>
    </w:p>
    <w:p w14:paraId="76CF4444" w14:textId="7E162EFC" w:rsidR="00A01109" w:rsidRDefault="00A01109" w:rsidP="00A01109">
      <w:pPr>
        <w:jc w:val="center"/>
        <w:rPr>
          <w:rFonts w:ascii="Calibri" w:hAnsi="Calibri" w:cs="Calibri"/>
          <w:b/>
          <w:sz w:val="40"/>
          <w:szCs w:val="40"/>
        </w:rPr>
      </w:pPr>
      <w:r w:rsidRPr="00D17ED7">
        <w:rPr>
          <w:rFonts w:ascii="Calibri" w:hAnsi="Calibri" w:cs="Calibri"/>
          <w:b/>
          <w:sz w:val="40"/>
          <w:szCs w:val="40"/>
        </w:rPr>
        <w:t>Specijalne bolnice za medicinsku rehabilit</w:t>
      </w:r>
      <w:r>
        <w:rPr>
          <w:rFonts w:ascii="Calibri" w:hAnsi="Calibri" w:cs="Calibri"/>
          <w:b/>
          <w:sz w:val="40"/>
          <w:szCs w:val="40"/>
        </w:rPr>
        <w:t>aciju Daruvarske toplice za 2025.g.</w:t>
      </w:r>
    </w:p>
    <w:p w14:paraId="0459A4DC" w14:textId="77777777" w:rsidR="00A01109" w:rsidRPr="00D17ED7" w:rsidRDefault="00A01109" w:rsidP="00A01109">
      <w:pPr>
        <w:jc w:val="center"/>
        <w:rPr>
          <w:rFonts w:ascii="Calibri" w:hAnsi="Calibri" w:cs="Calibri"/>
          <w:b/>
          <w:sz w:val="40"/>
          <w:szCs w:val="40"/>
        </w:rPr>
      </w:pPr>
    </w:p>
    <w:p w14:paraId="087AD912" w14:textId="77777777" w:rsidR="00A01109" w:rsidRPr="00D17ED7" w:rsidRDefault="00A01109" w:rsidP="00A01109">
      <w:pPr>
        <w:jc w:val="center"/>
        <w:rPr>
          <w:rFonts w:ascii="Calibri" w:hAnsi="Calibri" w:cs="Calibri"/>
          <w:b/>
          <w:sz w:val="40"/>
          <w:szCs w:val="40"/>
        </w:rPr>
      </w:pPr>
    </w:p>
    <w:p w14:paraId="6BE63E76" w14:textId="77777777" w:rsidR="00A01109" w:rsidRPr="00D17ED7" w:rsidRDefault="00A01109" w:rsidP="00A01109">
      <w:pPr>
        <w:rPr>
          <w:rFonts w:ascii="Calibri" w:hAnsi="Calibri" w:cs="Calibri"/>
          <w:sz w:val="40"/>
          <w:szCs w:val="40"/>
        </w:rPr>
      </w:pPr>
    </w:p>
    <w:p w14:paraId="7AF7142C" w14:textId="77777777" w:rsidR="00A01109" w:rsidRPr="00086261" w:rsidRDefault="00A01109" w:rsidP="00A01109">
      <w:pPr>
        <w:rPr>
          <w:rFonts w:ascii="Calibri" w:hAnsi="Calibri" w:cs="Calibri"/>
        </w:rPr>
      </w:pPr>
    </w:p>
    <w:p w14:paraId="73CDDDFB" w14:textId="77777777" w:rsidR="00A01109" w:rsidRPr="00086261" w:rsidRDefault="00A01109" w:rsidP="00A01109">
      <w:pPr>
        <w:rPr>
          <w:rFonts w:ascii="Calibri" w:hAnsi="Calibri" w:cs="Calibri"/>
        </w:rPr>
      </w:pPr>
    </w:p>
    <w:p w14:paraId="3BC9EC15" w14:textId="77777777" w:rsidR="00A01109" w:rsidRPr="00086261" w:rsidRDefault="00A01109" w:rsidP="00A01109">
      <w:pPr>
        <w:rPr>
          <w:rFonts w:ascii="Calibri" w:hAnsi="Calibri" w:cs="Calibri"/>
        </w:rPr>
      </w:pPr>
    </w:p>
    <w:p w14:paraId="4C72ABE2" w14:textId="77777777" w:rsidR="00A01109" w:rsidRPr="00086261" w:rsidRDefault="00A01109" w:rsidP="00A01109">
      <w:pPr>
        <w:rPr>
          <w:rFonts w:ascii="Calibri" w:hAnsi="Calibri" w:cs="Calibri"/>
        </w:rPr>
      </w:pPr>
    </w:p>
    <w:p w14:paraId="6638D72A" w14:textId="77777777" w:rsidR="00A01109" w:rsidRPr="00086261" w:rsidRDefault="00A01109" w:rsidP="00A01109">
      <w:pPr>
        <w:rPr>
          <w:rFonts w:ascii="Calibri" w:hAnsi="Calibri" w:cs="Calibri"/>
        </w:rPr>
      </w:pPr>
    </w:p>
    <w:p w14:paraId="2DA34CD6" w14:textId="77777777" w:rsidR="00A01109" w:rsidRDefault="00A01109" w:rsidP="00A01109">
      <w:pPr>
        <w:rPr>
          <w:rFonts w:ascii="Calibri" w:hAnsi="Calibri" w:cs="Calibri"/>
        </w:rPr>
      </w:pPr>
    </w:p>
    <w:p w14:paraId="6CC77AC4" w14:textId="77777777" w:rsidR="00A01109" w:rsidRDefault="00A01109" w:rsidP="00A01109">
      <w:pPr>
        <w:rPr>
          <w:rFonts w:ascii="Calibri" w:hAnsi="Calibri" w:cs="Calibri"/>
        </w:rPr>
      </w:pPr>
    </w:p>
    <w:p w14:paraId="3BBDA6EB" w14:textId="77777777" w:rsidR="00A01109" w:rsidRDefault="00A01109" w:rsidP="00A01109">
      <w:pPr>
        <w:rPr>
          <w:rFonts w:ascii="Calibri" w:hAnsi="Calibri" w:cs="Calibri"/>
        </w:rPr>
      </w:pPr>
    </w:p>
    <w:p w14:paraId="75B946A1" w14:textId="77777777" w:rsidR="00A01109" w:rsidRDefault="00A01109" w:rsidP="00A01109">
      <w:pPr>
        <w:rPr>
          <w:rFonts w:ascii="Calibri" w:hAnsi="Calibri" w:cs="Calibri"/>
        </w:rPr>
      </w:pPr>
    </w:p>
    <w:p w14:paraId="5FD796B5" w14:textId="77777777" w:rsidR="00A01109" w:rsidRDefault="00A01109" w:rsidP="00A01109">
      <w:pPr>
        <w:rPr>
          <w:rFonts w:ascii="Calibri" w:hAnsi="Calibri" w:cs="Calibri"/>
        </w:rPr>
      </w:pPr>
    </w:p>
    <w:p w14:paraId="6CBD8048" w14:textId="77777777" w:rsidR="00A01109" w:rsidRDefault="00A01109" w:rsidP="00A01109">
      <w:pPr>
        <w:rPr>
          <w:rFonts w:ascii="Calibri" w:hAnsi="Calibri" w:cs="Calibri"/>
        </w:rPr>
      </w:pPr>
    </w:p>
    <w:p w14:paraId="3CEF44E4" w14:textId="77777777" w:rsidR="00A01109" w:rsidRDefault="00A01109" w:rsidP="00A01109">
      <w:pPr>
        <w:rPr>
          <w:rFonts w:ascii="Calibri" w:hAnsi="Calibri" w:cs="Calibri"/>
        </w:rPr>
      </w:pPr>
    </w:p>
    <w:p w14:paraId="63C622AB" w14:textId="77777777" w:rsidR="00570A4D" w:rsidRDefault="00570A4D" w:rsidP="00A01109">
      <w:pPr>
        <w:rPr>
          <w:rFonts w:ascii="Calibri" w:hAnsi="Calibri" w:cs="Calibri"/>
        </w:rPr>
      </w:pPr>
    </w:p>
    <w:p w14:paraId="2C2D8070" w14:textId="77777777" w:rsidR="00F662B4" w:rsidRDefault="00F662B4" w:rsidP="00A01109">
      <w:pPr>
        <w:rPr>
          <w:rFonts w:ascii="Calibri" w:hAnsi="Calibri" w:cs="Calibri"/>
        </w:rPr>
      </w:pPr>
    </w:p>
    <w:p w14:paraId="432CE51E" w14:textId="77777777" w:rsidR="00570A4D" w:rsidRPr="00086261" w:rsidRDefault="00570A4D" w:rsidP="00A01109">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5174"/>
        <w:gridCol w:w="1967"/>
      </w:tblGrid>
      <w:tr w:rsidR="00A01109" w:rsidRPr="00B52670" w14:paraId="7157BFF6" w14:textId="77777777" w:rsidTr="00CC4EDE">
        <w:tc>
          <w:tcPr>
            <w:tcW w:w="1951" w:type="dxa"/>
            <w:shd w:val="clear" w:color="auto" w:fill="auto"/>
          </w:tcPr>
          <w:p w14:paraId="7549C5C4" w14:textId="77777777" w:rsidR="00A01109" w:rsidRPr="00B52670" w:rsidRDefault="00A01109" w:rsidP="00CC4EDE">
            <w:pPr>
              <w:rPr>
                <w:b/>
                <w:bCs/>
                <w:color w:val="000000"/>
              </w:rPr>
            </w:pPr>
            <w:r w:rsidRPr="00B52670">
              <w:rPr>
                <w:b/>
                <w:bCs/>
                <w:color w:val="000000"/>
              </w:rPr>
              <w:t>Aktivnost:</w:t>
            </w:r>
          </w:p>
        </w:tc>
        <w:tc>
          <w:tcPr>
            <w:tcW w:w="5322" w:type="dxa"/>
            <w:shd w:val="clear" w:color="auto" w:fill="auto"/>
          </w:tcPr>
          <w:p w14:paraId="2A34DBE0" w14:textId="77777777" w:rsidR="00A01109" w:rsidRPr="00B52670" w:rsidRDefault="00A01109" w:rsidP="00CC4EDE">
            <w:pPr>
              <w:rPr>
                <w:b/>
                <w:bCs/>
              </w:rPr>
            </w:pPr>
            <w:r w:rsidRPr="00B52670">
              <w:rPr>
                <w:b/>
                <w:bCs/>
              </w:rPr>
              <w:t>A Uprava 8103</w:t>
            </w:r>
          </w:p>
          <w:p w14:paraId="48E3FAF7" w14:textId="77777777" w:rsidR="00A01109" w:rsidRPr="00B52670" w:rsidRDefault="00A01109" w:rsidP="00CC4EDE">
            <w:pPr>
              <w:rPr>
                <w:b/>
                <w:bCs/>
                <w:color w:val="000000"/>
              </w:rPr>
            </w:pPr>
            <w:r w:rsidRPr="00B52670">
              <w:rPr>
                <w:b/>
                <w:bCs/>
              </w:rPr>
              <w:t>P</w:t>
            </w:r>
            <w:r>
              <w:rPr>
                <w:b/>
                <w:bCs/>
              </w:rPr>
              <w:t>rogram:</w:t>
            </w:r>
            <w:r w:rsidRPr="00B52670">
              <w:rPr>
                <w:b/>
                <w:bCs/>
              </w:rPr>
              <w:t xml:space="preserve"> </w:t>
            </w:r>
            <w:r>
              <w:rPr>
                <w:b/>
                <w:bCs/>
              </w:rPr>
              <w:t>P</w:t>
            </w:r>
            <w:r w:rsidRPr="00B52670">
              <w:rPr>
                <w:b/>
                <w:bCs/>
              </w:rPr>
              <w:t>22 ZDRAVSTVO</w:t>
            </w:r>
            <w:r>
              <w:rPr>
                <w:b/>
                <w:bCs/>
              </w:rPr>
              <w:t>-DECENTRALIZACIJA</w:t>
            </w:r>
            <w:r w:rsidRPr="00B52670">
              <w:rPr>
                <w:b/>
                <w:bCs/>
              </w:rPr>
              <w:t xml:space="preserve"> </w:t>
            </w:r>
          </w:p>
        </w:tc>
        <w:tc>
          <w:tcPr>
            <w:tcW w:w="2015" w:type="dxa"/>
            <w:shd w:val="clear" w:color="auto" w:fill="auto"/>
          </w:tcPr>
          <w:p w14:paraId="6D1FA05B" w14:textId="68F04C4E" w:rsidR="00A01109" w:rsidRPr="00B52670" w:rsidRDefault="000E0AAE" w:rsidP="00CC4EDE">
            <w:pPr>
              <w:jc w:val="right"/>
              <w:rPr>
                <w:b/>
                <w:bCs/>
                <w:color w:val="000000"/>
              </w:rPr>
            </w:pPr>
            <w:r>
              <w:rPr>
                <w:b/>
                <w:bCs/>
                <w:color w:val="000000"/>
              </w:rPr>
              <w:t>170.000</w:t>
            </w:r>
            <w:r w:rsidR="00A01109">
              <w:rPr>
                <w:b/>
                <w:bCs/>
                <w:color w:val="000000"/>
              </w:rPr>
              <w:t xml:space="preserve"> EUR</w:t>
            </w:r>
          </w:p>
        </w:tc>
      </w:tr>
      <w:tr w:rsidR="00A01109" w:rsidRPr="00B52670" w14:paraId="18586342" w14:textId="77777777" w:rsidTr="00CC4EDE">
        <w:tc>
          <w:tcPr>
            <w:tcW w:w="1951" w:type="dxa"/>
            <w:shd w:val="clear" w:color="auto" w:fill="auto"/>
          </w:tcPr>
          <w:p w14:paraId="4E6C38C7" w14:textId="77777777" w:rsidR="00A01109" w:rsidRPr="00B52670" w:rsidRDefault="00A01109" w:rsidP="00CC4EDE">
            <w:pPr>
              <w:rPr>
                <w:b/>
                <w:bCs/>
                <w:color w:val="000000"/>
              </w:rPr>
            </w:pPr>
            <w:r w:rsidRPr="00B52670">
              <w:rPr>
                <w:b/>
                <w:bCs/>
                <w:color w:val="000000"/>
              </w:rPr>
              <w:t>Opis 1:</w:t>
            </w:r>
          </w:p>
        </w:tc>
        <w:tc>
          <w:tcPr>
            <w:tcW w:w="7337" w:type="dxa"/>
            <w:gridSpan w:val="2"/>
            <w:shd w:val="clear" w:color="auto" w:fill="auto"/>
          </w:tcPr>
          <w:p w14:paraId="0ED4E4C0" w14:textId="4271F5FC" w:rsidR="00A01109" w:rsidRPr="00E85EC1" w:rsidRDefault="00A01109" w:rsidP="001F4277">
            <w:pPr>
              <w:jc w:val="both"/>
            </w:pPr>
            <w:r w:rsidRPr="00B52670">
              <w:t>Financijskim planom predvidjeli smo</w:t>
            </w:r>
            <w:r>
              <w:t xml:space="preserve"> decentralizaciju u iznosu od </w:t>
            </w:r>
            <w:r w:rsidR="000E0AAE">
              <w:rPr>
                <w:b/>
              </w:rPr>
              <w:t>170</w:t>
            </w:r>
            <w:r>
              <w:rPr>
                <w:b/>
              </w:rPr>
              <w:t>.</w:t>
            </w:r>
            <w:r w:rsidR="000E0AAE">
              <w:rPr>
                <w:b/>
              </w:rPr>
              <w:t>000</w:t>
            </w:r>
            <w:r>
              <w:t xml:space="preserve"> EUR sukladno </w:t>
            </w:r>
            <w:r w:rsidR="001F4277">
              <w:t>prijedlogu</w:t>
            </w:r>
            <w:r>
              <w:t xml:space="preserve"> o minimalnim financijskim standardima za decentralizirane funkcije za zdravstvene ustan</w:t>
            </w:r>
            <w:r w:rsidR="000E0AAE">
              <w:t>ove u 2025</w:t>
            </w:r>
            <w:r>
              <w:t>.</w:t>
            </w:r>
            <w:r w:rsidR="000E0AAE">
              <w:t xml:space="preserve"> </w:t>
            </w:r>
            <w:r>
              <w:t>godini. Na usluge</w:t>
            </w:r>
            <w:r w:rsidR="000E0AAE">
              <w:t xml:space="preserve"> tekućeg i investicijskog</w:t>
            </w:r>
            <w:r>
              <w:t xml:space="preserve"> održavanja </w:t>
            </w:r>
            <w:r w:rsidR="00932910">
              <w:t xml:space="preserve">Ustanova je predvidjela </w:t>
            </w:r>
            <w:r w:rsidR="00E85EC1">
              <w:t>65.100</w:t>
            </w:r>
            <w:r>
              <w:t xml:space="preserve"> EUR.</w:t>
            </w:r>
            <w:r w:rsidR="00932910">
              <w:t xml:space="preserve"> Na održavanje bolničkih smještajnih jedinica</w:t>
            </w:r>
            <w:r w:rsidR="00E85EC1">
              <w:t xml:space="preserve"> Ustanova je predvidjela 27.100 EUR, na održavanje bolničkog informatičkog sustava 38.000 EUR.</w:t>
            </w:r>
            <w:r w:rsidR="00932910">
              <w:t xml:space="preserve"> </w:t>
            </w:r>
            <w:r w:rsidR="00E85EC1">
              <w:t xml:space="preserve"> Planom za 2025</w:t>
            </w:r>
            <w:r>
              <w:t>.</w:t>
            </w:r>
            <w:r w:rsidR="00E85EC1">
              <w:t xml:space="preserve"> </w:t>
            </w:r>
            <w:r>
              <w:t xml:space="preserve">godinu predviđena je nabavka medicinske i laboratorijske opreme u iznosu od </w:t>
            </w:r>
            <w:r w:rsidR="00E85EC1">
              <w:t>80.100</w:t>
            </w:r>
            <w:r>
              <w:t xml:space="preserve"> EUR, računalne opreme u iznosu od </w:t>
            </w:r>
            <w:r w:rsidR="00E85EC1">
              <w:t>24.800</w:t>
            </w:r>
            <w:r>
              <w:t xml:space="preserve"> EUR. </w:t>
            </w:r>
          </w:p>
        </w:tc>
      </w:tr>
      <w:tr w:rsidR="00A01109" w:rsidRPr="00B52670" w14:paraId="58750788" w14:textId="77777777" w:rsidTr="00CC4EDE">
        <w:tc>
          <w:tcPr>
            <w:tcW w:w="1951" w:type="dxa"/>
            <w:shd w:val="clear" w:color="auto" w:fill="auto"/>
          </w:tcPr>
          <w:p w14:paraId="11E495B9" w14:textId="77777777" w:rsidR="00A01109" w:rsidRPr="00B52670" w:rsidRDefault="00A01109" w:rsidP="00CC4EDE">
            <w:pPr>
              <w:rPr>
                <w:b/>
                <w:bCs/>
                <w:color w:val="000000"/>
              </w:rPr>
            </w:pPr>
            <w:r>
              <w:rPr>
                <w:b/>
                <w:color w:val="000000"/>
              </w:rPr>
              <w:t xml:space="preserve"> </w:t>
            </w:r>
            <w:r w:rsidRPr="00B52670">
              <w:rPr>
                <w:b/>
                <w:color w:val="000000"/>
              </w:rPr>
              <w:t>Pokazatelj uspješnosti:</w:t>
            </w:r>
          </w:p>
        </w:tc>
        <w:tc>
          <w:tcPr>
            <w:tcW w:w="7337" w:type="dxa"/>
            <w:gridSpan w:val="2"/>
            <w:shd w:val="clear" w:color="auto" w:fill="auto"/>
          </w:tcPr>
          <w:p w14:paraId="09509D46" w14:textId="77777777" w:rsidR="00A01109" w:rsidRDefault="00A01109" w:rsidP="00CC4EDE">
            <w:pPr>
              <w:rPr>
                <w:bCs/>
                <w:color w:val="000000"/>
              </w:rPr>
            </w:pPr>
            <w:r>
              <w:rPr>
                <w:bCs/>
                <w:color w:val="000000"/>
              </w:rPr>
              <w:t>Podizanje</w:t>
            </w:r>
            <w:r w:rsidRPr="00B52670">
              <w:rPr>
                <w:bCs/>
                <w:color w:val="000000"/>
              </w:rPr>
              <w:t xml:space="preserve"> kvalitete pruženih usluga, kako bi </w:t>
            </w:r>
            <w:r>
              <w:rPr>
                <w:bCs/>
                <w:color w:val="000000"/>
              </w:rPr>
              <w:t>se zadovoljili zahtjevi, propisi i kvaliteta pruženih usluga pacijentima i korisnicima zdravstvenih usluga.</w:t>
            </w:r>
          </w:p>
          <w:p w14:paraId="74AE2958" w14:textId="77777777" w:rsidR="00A01109" w:rsidRPr="00B52670" w:rsidRDefault="00A01109" w:rsidP="00CC4EDE">
            <w:pPr>
              <w:rPr>
                <w:bCs/>
                <w:color w:val="000000"/>
              </w:rPr>
            </w:pPr>
          </w:p>
        </w:tc>
      </w:tr>
    </w:tbl>
    <w:p w14:paraId="1CAEE245" w14:textId="77777777" w:rsidR="00A01109" w:rsidRDefault="00A01109" w:rsidP="00A01109"/>
    <w:p w14:paraId="798230B0" w14:textId="77777777" w:rsidR="005E51CD" w:rsidRPr="00B52670" w:rsidRDefault="005E51CD" w:rsidP="00A011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5159"/>
        <w:gridCol w:w="1980"/>
      </w:tblGrid>
      <w:tr w:rsidR="00A01109" w:rsidRPr="00B52670" w14:paraId="363DEA3B" w14:textId="77777777" w:rsidTr="001B4089">
        <w:tc>
          <w:tcPr>
            <w:tcW w:w="1923" w:type="dxa"/>
            <w:shd w:val="clear" w:color="auto" w:fill="auto"/>
          </w:tcPr>
          <w:p w14:paraId="7C2B4030" w14:textId="77777777" w:rsidR="00A01109" w:rsidRPr="00B52670" w:rsidRDefault="00A01109" w:rsidP="00CC4EDE">
            <w:pPr>
              <w:rPr>
                <w:b/>
                <w:bCs/>
                <w:color w:val="000000"/>
              </w:rPr>
            </w:pPr>
            <w:r w:rsidRPr="00B52670">
              <w:rPr>
                <w:b/>
                <w:bCs/>
                <w:color w:val="000000"/>
              </w:rPr>
              <w:t>Aktivnost:</w:t>
            </w:r>
          </w:p>
        </w:tc>
        <w:tc>
          <w:tcPr>
            <w:tcW w:w="5159" w:type="dxa"/>
            <w:shd w:val="clear" w:color="auto" w:fill="auto"/>
          </w:tcPr>
          <w:p w14:paraId="224A6A73" w14:textId="77777777" w:rsidR="00A01109" w:rsidRPr="00B52670" w:rsidRDefault="00A01109" w:rsidP="00CC4EDE">
            <w:pPr>
              <w:rPr>
                <w:b/>
                <w:bCs/>
              </w:rPr>
            </w:pPr>
            <w:r w:rsidRPr="00B52670">
              <w:rPr>
                <w:b/>
                <w:bCs/>
              </w:rPr>
              <w:t>A Uprava 8103</w:t>
            </w:r>
          </w:p>
          <w:p w14:paraId="1BE27EBE" w14:textId="77777777" w:rsidR="00A01109" w:rsidRPr="00B52670" w:rsidRDefault="00A01109" w:rsidP="00CC4EDE">
            <w:pPr>
              <w:rPr>
                <w:b/>
                <w:bCs/>
                <w:color w:val="000000"/>
              </w:rPr>
            </w:pPr>
            <w:r>
              <w:rPr>
                <w:b/>
                <w:bCs/>
              </w:rPr>
              <w:t>Program: P</w:t>
            </w:r>
            <w:r w:rsidRPr="00B52670">
              <w:rPr>
                <w:b/>
                <w:bCs/>
              </w:rPr>
              <w:t>1 REDOVNE DJELATNOSTI</w:t>
            </w:r>
          </w:p>
        </w:tc>
        <w:tc>
          <w:tcPr>
            <w:tcW w:w="1980" w:type="dxa"/>
            <w:shd w:val="clear" w:color="auto" w:fill="auto"/>
          </w:tcPr>
          <w:p w14:paraId="5B250501" w14:textId="3544618C" w:rsidR="00A01109" w:rsidRPr="00B52670" w:rsidRDefault="00E85EC1" w:rsidP="00CC4EDE">
            <w:pPr>
              <w:jc w:val="right"/>
              <w:rPr>
                <w:b/>
                <w:bCs/>
                <w:color w:val="000000"/>
              </w:rPr>
            </w:pPr>
            <w:r>
              <w:rPr>
                <w:b/>
                <w:bCs/>
                <w:color w:val="000000"/>
              </w:rPr>
              <w:t>20.918.219</w:t>
            </w:r>
            <w:r w:rsidR="00A01109">
              <w:rPr>
                <w:b/>
                <w:bCs/>
                <w:color w:val="000000"/>
              </w:rPr>
              <w:t xml:space="preserve"> EUR</w:t>
            </w:r>
          </w:p>
        </w:tc>
      </w:tr>
      <w:tr w:rsidR="00A01109" w:rsidRPr="00B52670" w14:paraId="5723A80E" w14:textId="77777777" w:rsidTr="001B4089">
        <w:tc>
          <w:tcPr>
            <w:tcW w:w="1923" w:type="dxa"/>
            <w:shd w:val="clear" w:color="auto" w:fill="auto"/>
          </w:tcPr>
          <w:p w14:paraId="004F9E5F" w14:textId="77777777" w:rsidR="00A01109" w:rsidRPr="00B52670" w:rsidRDefault="00A01109" w:rsidP="00CC4EDE">
            <w:pPr>
              <w:rPr>
                <w:b/>
                <w:bCs/>
                <w:color w:val="000000"/>
              </w:rPr>
            </w:pPr>
            <w:r>
              <w:rPr>
                <w:b/>
                <w:bCs/>
                <w:color w:val="000000"/>
              </w:rPr>
              <w:t>Opis 1</w:t>
            </w:r>
            <w:r w:rsidRPr="00B52670">
              <w:rPr>
                <w:b/>
                <w:bCs/>
                <w:color w:val="000000"/>
              </w:rPr>
              <w:t>:</w:t>
            </w:r>
          </w:p>
        </w:tc>
        <w:tc>
          <w:tcPr>
            <w:tcW w:w="7139" w:type="dxa"/>
            <w:gridSpan w:val="2"/>
            <w:shd w:val="clear" w:color="auto" w:fill="auto"/>
          </w:tcPr>
          <w:p w14:paraId="097B5A30" w14:textId="77777777" w:rsidR="00A01109" w:rsidRPr="00B52670" w:rsidRDefault="00A01109" w:rsidP="00CC4EDE">
            <w:pPr>
              <w:jc w:val="both"/>
              <w:rPr>
                <w:b/>
              </w:rPr>
            </w:pPr>
            <w:r>
              <w:rPr>
                <w:b/>
              </w:rPr>
              <w:t>Izvor 1</w:t>
            </w:r>
            <w:r w:rsidRPr="00B52670">
              <w:rPr>
                <w:b/>
              </w:rPr>
              <w:t xml:space="preserve"> VLASTITI PRIHODI</w:t>
            </w:r>
          </w:p>
          <w:p w14:paraId="5C3F9557" w14:textId="77777777" w:rsidR="00A01109" w:rsidRDefault="00A01109" w:rsidP="00CC4EDE">
            <w:pPr>
              <w:jc w:val="both"/>
            </w:pPr>
          </w:p>
          <w:p w14:paraId="0E5111C7" w14:textId="67C578CD" w:rsidR="00A01109" w:rsidRPr="00B52670" w:rsidRDefault="00A01109" w:rsidP="00E85EC1">
            <w:pPr>
              <w:jc w:val="both"/>
            </w:pPr>
            <w:r>
              <w:t xml:space="preserve">U prijedlogu </w:t>
            </w:r>
            <w:r w:rsidRPr="00B52670">
              <w:t>financijskog plana vlastitih prihoda,</w:t>
            </w:r>
            <w:r>
              <w:t xml:space="preserve"> ukupne</w:t>
            </w:r>
            <w:r w:rsidRPr="00B52670">
              <w:t xml:space="preserve"> </w:t>
            </w:r>
            <w:r>
              <w:t xml:space="preserve">vlastite prihode planiramo u iznosu od </w:t>
            </w:r>
            <w:r w:rsidR="00E85EC1" w:rsidRPr="00E85EC1">
              <w:rPr>
                <w:b/>
              </w:rPr>
              <w:t>6.195.967</w:t>
            </w:r>
            <w:r>
              <w:rPr>
                <w:b/>
              </w:rPr>
              <w:t xml:space="preserve"> EUR.</w:t>
            </w:r>
            <w:r>
              <w:t xml:space="preserve"> Od vlastitih prihoda predviđamo ostvarenje prihode od </w:t>
            </w:r>
            <w:r w:rsidRPr="00E52030">
              <w:rPr>
                <w:b/>
              </w:rPr>
              <w:t>obavljanja djelatnosti na tržištu u iznosu od 3.</w:t>
            </w:r>
            <w:r w:rsidR="00E85EC1">
              <w:rPr>
                <w:b/>
              </w:rPr>
              <w:t>653.746</w:t>
            </w:r>
            <w:r w:rsidRPr="00E52030">
              <w:rPr>
                <w:b/>
              </w:rPr>
              <w:t xml:space="preserve"> EUR</w:t>
            </w:r>
            <w:r>
              <w:t>, i prihode od financijske imovine ( pozitivnih tečajnih razlika) u iznosu od 133 EUR. Planom za 202</w:t>
            </w:r>
            <w:r w:rsidR="00E85EC1">
              <w:t>5</w:t>
            </w:r>
            <w:r>
              <w:t xml:space="preserve">. godinu predviđeno je korištenje </w:t>
            </w:r>
            <w:r w:rsidRPr="00E85EC1">
              <w:rPr>
                <w:b/>
              </w:rPr>
              <w:t>viška iz prethodnih godina u iznosu od 2.</w:t>
            </w:r>
            <w:r w:rsidR="00E85EC1" w:rsidRPr="00E85EC1">
              <w:rPr>
                <w:b/>
              </w:rPr>
              <w:t>542</w:t>
            </w:r>
            <w:r w:rsidRPr="00E85EC1">
              <w:rPr>
                <w:b/>
              </w:rPr>
              <w:t>.</w:t>
            </w:r>
            <w:r w:rsidR="00E85EC1" w:rsidRPr="00E85EC1">
              <w:rPr>
                <w:b/>
              </w:rPr>
              <w:t>088</w:t>
            </w:r>
            <w:r w:rsidRPr="00E85EC1">
              <w:rPr>
                <w:b/>
              </w:rPr>
              <w:t xml:space="preserve"> EUR.</w:t>
            </w:r>
            <w:r>
              <w:t xml:space="preserve"> </w:t>
            </w:r>
          </w:p>
        </w:tc>
      </w:tr>
      <w:tr w:rsidR="00A01109" w:rsidRPr="00B52670" w14:paraId="4B513765" w14:textId="77777777" w:rsidTr="001B4089">
        <w:tc>
          <w:tcPr>
            <w:tcW w:w="1923" w:type="dxa"/>
            <w:shd w:val="clear" w:color="auto" w:fill="auto"/>
          </w:tcPr>
          <w:p w14:paraId="0DF2F3BC" w14:textId="77777777" w:rsidR="00A01109" w:rsidRPr="00B52670" w:rsidRDefault="00A01109" w:rsidP="00CC4EDE">
            <w:pPr>
              <w:rPr>
                <w:b/>
                <w:bCs/>
                <w:color w:val="000000"/>
              </w:rPr>
            </w:pPr>
            <w:r w:rsidRPr="00B52670">
              <w:rPr>
                <w:b/>
                <w:bCs/>
                <w:color w:val="000000"/>
              </w:rPr>
              <w:t xml:space="preserve">Opis </w:t>
            </w:r>
            <w:r>
              <w:rPr>
                <w:b/>
                <w:bCs/>
                <w:color w:val="000000"/>
              </w:rPr>
              <w:t>2</w:t>
            </w:r>
            <w:r w:rsidRPr="00B52670">
              <w:rPr>
                <w:b/>
                <w:bCs/>
                <w:color w:val="000000"/>
              </w:rPr>
              <w:t>:</w:t>
            </w:r>
          </w:p>
        </w:tc>
        <w:tc>
          <w:tcPr>
            <w:tcW w:w="7139" w:type="dxa"/>
            <w:gridSpan w:val="2"/>
            <w:shd w:val="clear" w:color="auto" w:fill="auto"/>
          </w:tcPr>
          <w:p w14:paraId="3C7D342F" w14:textId="77777777" w:rsidR="00A01109" w:rsidRPr="00B52670" w:rsidRDefault="00A01109" w:rsidP="00CC4EDE">
            <w:pPr>
              <w:jc w:val="both"/>
              <w:rPr>
                <w:b/>
              </w:rPr>
            </w:pPr>
            <w:r w:rsidRPr="00B52670">
              <w:rPr>
                <w:b/>
              </w:rPr>
              <w:t xml:space="preserve">Izvor </w:t>
            </w:r>
            <w:r>
              <w:rPr>
                <w:b/>
              </w:rPr>
              <w:t>2</w:t>
            </w:r>
            <w:r w:rsidRPr="00B52670">
              <w:rPr>
                <w:b/>
              </w:rPr>
              <w:t xml:space="preserve"> PRIHODI ZA POSEBNE NAMJENE</w:t>
            </w:r>
          </w:p>
          <w:p w14:paraId="2A47D474" w14:textId="77777777" w:rsidR="00A01109" w:rsidRPr="00B52670" w:rsidRDefault="00A01109" w:rsidP="00CC4EDE">
            <w:pPr>
              <w:jc w:val="both"/>
            </w:pPr>
          </w:p>
          <w:p w14:paraId="20AE36C4" w14:textId="46181833" w:rsidR="00A01109" w:rsidRPr="00B52670" w:rsidRDefault="00A01109" w:rsidP="00CC4EDE">
            <w:pPr>
              <w:jc w:val="both"/>
            </w:pPr>
            <w:r>
              <w:t xml:space="preserve">Prihode za posebne namjene </w:t>
            </w:r>
            <w:r w:rsidRPr="00B52670">
              <w:t>planiramo</w:t>
            </w:r>
            <w:r>
              <w:t xml:space="preserve"> u ukupnom iznosu od </w:t>
            </w:r>
            <w:r w:rsidR="00E85EC1" w:rsidRPr="00E85EC1">
              <w:rPr>
                <w:b/>
              </w:rPr>
              <w:t>4.578.098</w:t>
            </w:r>
            <w:r>
              <w:rPr>
                <w:b/>
              </w:rPr>
              <w:t xml:space="preserve"> EUR</w:t>
            </w:r>
            <w:r>
              <w:t xml:space="preserve">, </w:t>
            </w:r>
            <w:r w:rsidR="00E85EC1" w:rsidRPr="00E85EC1">
              <w:rPr>
                <w:b/>
              </w:rPr>
              <w:t>3.806.548</w:t>
            </w:r>
            <w:r w:rsidRPr="00B45EEE">
              <w:rPr>
                <w:b/>
              </w:rPr>
              <w:t xml:space="preserve"> EUR</w:t>
            </w:r>
            <w:r>
              <w:t xml:space="preserve"> prihoda od </w:t>
            </w:r>
            <w:r w:rsidRPr="001D3427">
              <w:rPr>
                <w:b/>
              </w:rPr>
              <w:t>ugovora sa HZZO-m</w:t>
            </w:r>
            <w:r w:rsidR="00E85EC1">
              <w:t xml:space="preserve"> od ugovorenoga limita ( 310.881</w:t>
            </w:r>
            <w:r>
              <w:t xml:space="preserve"> EUR mjesečni limit).  Prihode od </w:t>
            </w:r>
            <w:r w:rsidRPr="001D3427">
              <w:rPr>
                <w:b/>
              </w:rPr>
              <w:t xml:space="preserve">dopunskog osiguranja i participacije u iznosu od </w:t>
            </w:r>
            <w:r w:rsidR="00E85EC1">
              <w:rPr>
                <w:b/>
              </w:rPr>
              <w:t>771.550</w:t>
            </w:r>
            <w:r>
              <w:rPr>
                <w:b/>
              </w:rPr>
              <w:t xml:space="preserve"> EUR. </w:t>
            </w:r>
          </w:p>
          <w:p w14:paraId="5677C1C3" w14:textId="77777777" w:rsidR="00A01109" w:rsidRPr="00B52670" w:rsidRDefault="00A01109" w:rsidP="00CC4EDE">
            <w:pPr>
              <w:jc w:val="both"/>
            </w:pPr>
          </w:p>
        </w:tc>
      </w:tr>
    </w:tbl>
    <w:p w14:paraId="22766346" w14:textId="77777777" w:rsidR="009E6FC5" w:rsidRDefault="009E6FC5">
      <w:r>
        <w:br w:type="page"/>
      </w:r>
    </w:p>
    <w:tbl>
      <w:tblPr>
        <w:tblpPr w:leftFromText="180" w:rightFromText="180" w:vertAnchor="page" w:horzAnchor="margin" w:tblpY="3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139"/>
      </w:tblGrid>
      <w:tr w:rsidR="00A01109" w:rsidRPr="00B52670" w14:paraId="237E118D" w14:textId="77777777" w:rsidTr="009E6FC5">
        <w:tc>
          <w:tcPr>
            <w:tcW w:w="1923" w:type="dxa"/>
            <w:shd w:val="clear" w:color="auto" w:fill="auto"/>
          </w:tcPr>
          <w:p w14:paraId="05C70A91" w14:textId="1D034B8F" w:rsidR="00A01109" w:rsidRPr="00B52670" w:rsidRDefault="00A01109" w:rsidP="009E6FC5">
            <w:pPr>
              <w:rPr>
                <w:b/>
                <w:bCs/>
                <w:color w:val="000000"/>
              </w:rPr>
            </w:pPr>
            <w:r w:rsidRPr="00B52670">
              <w:rPr>
                <w:b/>
                <w:bCs/>
                <w:color w:val="000000"/>
              </w:rPr>
              <w:lastRenderedPageBreak/>
              <w:t xml:space="preserve">Opis </w:t>
            </w:r>
            <w:r>
              <w:rPr>
                <w:b/>
                <w:bCs/>
                <w:color w:val="000000"/>
              </w:rPr>
              <w:t>3</w:t>
            </w:r>
            <w:r w:rsidRPr="00B52670">
              <w:rPr>
                <w:b/>
                <w:bCs/>
                <w:color w:val="000000"/>
              </w:rPr>
              <w:t>:</w:t>
            </w:r>
          </w:p>
        </w:tc>
        <w:tc>
          <w:tcPr>
            <w:tcW w:w="7139" w:type="dxa"/>
            <w:shd w:val="clear" w:color="auto" w:fill="auto"/>
          </w:tcPr>
          <w:p w14:paraId="3FED0D3B" w14:textId="77777777" w:rsidR="00A01109" w:rsidRPr="00B52670" w:rsidRDefault="00A01109" w:rsidP="009E6FC5">
            <w:pPr>
              <w:jc w:val="both"/>
              <w:rPr>
                <w:b/>
              </w:rPr>
            </w:pPr>
            <w:r>
              <w:rPr>
                <w:b/>
              </w:rPr>
              <w:t>Izvor 3</w:t>
            </w:r>
            <w:r w:rsidRPr="00B52670">
              <w:rPr>
                <w:b/>
              </w:rPr>
              <w:t xml:space="preserve"> POMOĆI</w:t>
            </w:r>
          </w:p>
          <w:p w14:paraId="04215EE3" w14:textId="77777777" w:rsidR="00A01109" w:rsidRPr="00B52670" w:rsidRDefault="00A01109" w:rsidP="009E6FC5">
            <w:pPr>
              <w:jc w:val="both"/>
              <w:rPr>
                <w:b/>
              </w:rPr>
            </w:pPr>
          </w:p>
          <w:p w14:paraId="0F41E4C3" w14:textId="6B5A3654" w:rsidR="00A01109" w:rsidRDefault="00A01109" w:rsidP="009E6FC5">
            <w:pPr>
              <w:jc w:val="both"/>
            </w:pPr>
            <w:r w:rsidRPr="00B52670">
              <w:t>P</w:t>
            </w:r>
            <w:r>
              <w:t xml:space="preserve">rihode od pomoći planiramo u iznosu od </w:t>
            </w:r>
            <w:r w:rsidR="0052565F">
              <w:rPr>
                <w:b/>
              </w:rPr>
              <w:t>7.639.154</w:t>
            </w:r>
            <w:r>
              <w:rPr>
                <w:b/>
              </w:rPr>
              <w:t xml:space="preserve"> EUR</w:t>
            </w:r>
            <w:r>
              <w:t xml:space="preserve">. Ustanova očekuje javni poziv od strane </w:t>
            </w:r>
            <w:r w:rsidRPr="00E52030">
              <w:rPr>
                <w:i/>
                <w:u w:val="single"/>
              </w:rPr>
              <w:t>Ministarstva kulture</w:t>
            </w:r>
            <w:r>
              <w:t xml:space="preserve"> na koji planira aplicirati. Projekt sa kojim se prijavljuje odnosi se na uređenje Antunovog izvora. Nastavak sanacije Antunovog izvora obuhvaća sanac</w:t>
            </w:r>
            <w:r w:rsidR="0052565F">
              <w:t>iju kapilarne vlage</w:t>
            </w:r>
            <w:r>
              <w:t xml:space="preserve"> vanjskih zidova. Uku</w:t>
            </w:r>
            <w:r w:rsidR="0052565F">
              <w:t>pna vrijednost radova  iznosi 83</w:t>
            </w:r>
            <w:r>
              <w:t>.</w:t>
            </w:r>
            <w:r w:rsidR="0052565F">
              <w:t>893</w:t>
            </w:r>
            <w:r>
              <w:t xml:space="preserve"> EUR. Ustanova očekuje sufinanciranje u iznosu od  </w:t>
            </w:r>
            <w:r w:rsidR="0052565F">
              <w:rPr>
                <w:i/>
                <w:u w:val="single"/>
              </w:rPr>
              <w:t xml:space="preserve">81.393 </w:t>
            </w:r>
            <w:r w:rsidRPr="00E52030">
              <w:rPr>
                <w:i/>
                <w:u w:val="single"/>
              </w:rPr>
              <w:t>EUR</w:t>
            </w:r>
            <w:r>
              <w:t>.</w:t>
            </w:r>
          </w:p>
          <w:p w14:paraId="6F52B942" w14:textId="77777777" w:rsidR="005445C9" w:rsidRDefault="0052565F" w:rsidP="009E6FC5">
            <w:pPr>
              <w:jc w:val="both"/>
            </w:pPr>
            <w:r>
              <w:t>Ustanova je u kolovozu 2022.</w:t>
            </w:r>
            <w:r w:rsidR="00A01109">
              <w:t xml:space="preserve"> godine ostvarila status zaštitne ili integrativne radionice, sukladno tome ima pravo tražiti subvenciju za plaće i doprinose zaposlenika integrativne radne jedinice. </w:t>
            </w:r>
            <w:r>
              <w:t>Trenutno se u jedinici nalazi 54</w:t>
            </w:r>
            <w:r w:rsidR="00A01109">
              <w:t xml:space="preserve"> </w:t>
            </w:r>
          </w:p>
          <w:p w14:paraId="703D6025" w14:textId="539A009A" w:rsidR="00A01109" w:rsidRDefault="0052565F" w:rsidP="009E6FC5">
            <w:pPr>
              <w:jc w:val="both"/>
            </w:pPr>
            <w:r>
              <w:t>zaposlenika, u 2025</w:t>
            </w:r>
            <w:r w:rsidR="00A01109">
              <w:t>. godini se očekuje porast broja osoba kojima će biti priznat invaliditet u odnosu na rad nakon obavljenog vještačenja. Pl</w:t>
            </w:r>
            <w:r>
              <w:t>anom predviđena sredstava u 2025</w:t>
            </w:r>
            <w:r w:rsidR="00A01109">
              <w:t xml:space="preserve">. godini za </w:t>
            </w:r>
            <w:r w:rsidR="00A01109" w:rsidRPr="00E52030">
              <w:rPr>
                <w:i/>
                <w:u w:val="single"/>
              </w:rPr>
              <w:t xml:space="preserve">subvenciju plaća </w:t>
            </w:r>
            <w:r>
              <w:rPr>
                <w:i/>
                <w:u w:val="single"/>
              </w:rPr>
              <w:t>iznose 428.000</w:t>
            </w:r>
            <w:r w:rsidR="00A01109" w:rsidRPr="00E52030">
              <w:rPr>
                <w:i/>
                <w:u w:val="single"/>
              </w:rPr>
              <w:t xml:space="preserve"> EUR-a</w:t>
            </w:r>
            <w:r w:rsidR="00A01109">
              <w:t xml:space="preserve">.   </w:t>
            </w:r>
          </w:p>
          <w:p w14:paraId="531CB765" w14:textId="0D5ECA73" w:rsidR="0002547D" w:rsidRDefault="0052565F" w:rsidP="009E6FC5">
            <w:pPr>
              <w:jc w:val="both"/>
            </w:pPr>
            <w:r>
              <w:t>Za zapošljavanje osoba</w:t>
            </w:r>
            <w:r w:rsidR="00A01109">
              <w:t xml:space="preserve"> sa invaliditetom predviđamo dobivanje </w:t>
            </w:r>
            <w:r w:rsidR="00A01109" w:rsidRPr="00E52030">
              <w:rPr>
                <w:i/>
                <w:u w:val="single"/>
              </w:rPr>
              <w:t xml:space="preserve">de </w:t>
            </w:r>
            <w:proofErr w:type="spellStart"/>
            <w:r w:rsidR="00A01109" w:rsidRPr="00E52030">
              <w:rPr>
                <w:i/>
                <w:u w:val="single"/>
              </w:rPr>
              <w:t>min</w:t>
            </w:r>
            <w:r>
              <w:rPr>
                <w:i/>
                <w:u w:val="single"/>
              </w:rPr>
              <w:t>imis</w:t>
            </w:r>
            <w:proofErr w:type="spellEnd"/>
            <w:r>
              <w:rPr>
                <w:i/>
                <w:u w:val="single"/>
              </w:rPr>
              <w:t xml:space="preserve"> potpora u iznosu od 100.000 </w:t>
            </w:r>
            <w:r w:rsidR="00A01109" w:rsidRPr="00E52030">
              <w:rPr>
                <w:i/>
                <w:u w:val="single"/>
              </w:rPr>
              <w:t>EUR-a</w:t>
            </w:r>
            <w:r w:rsidR="00A01109">
              <w:t xml:space="preserve">. Sukladno statusu koji je Ustanova dobila imamo pravo na sredstva za širenje, adaptaciju i opremanje prostora integrativne radne jedinice i za </w:t>
            </w:r>
            <w:r w:rsidR="00A01109" w:rsidRPr="00E52030">
              <w:rPr>
                <w:i/>
                <w:u w:val="single"/>
              </w:rPr>
              <w:t xml:space="preserve">nabavu nove tehnologije i opreme, predviđamo pomoć u iznosu od </w:t>
            </w:r>
            <w:r>
              <w:rPr>
                <w:i/>
                <w:u w:val="single"/>
              </w:rPr>
              <w:t>528</w:t>
            </w:r>
            <w:r w:rsidR="00A01109" w:rsidRPr="00E52030">
              <w:rPr>
                <w:i/>
                <w:u w:val="single"/>
              </w:rPr>
              <w:t>.000 EUR.</w:t>
            </w:r>
            <w:r w:rsidR="00A01109">
              <w:t xml:space="preserve">  Planom predviđena investicija financirana od ZOSI-a u 202</w:t>
            </w:r>
            <w:r>
              <w:t>5. godini je zamjena opreme u praonici rublja i kotlovnice praonice rublja</w:t>
            </w:r>
            <w:r w:rsidR="00A01109">
              <w:t>.</w:t>
            </w:r>
          </w:p>
          <w:p w14:paraId="0FB479A2" w14:textId="641E472F" w:rsidR="0002547D" w:rsidRDefault="0002547D" w:rsidP="009E6FC5">
            <w:pPr>
              <w:jc w:val="both"/>
            </w:pPr>
            <w:r>
              <w:t xml:space="preserve">Nakon provedenog natječaja </w:t>
            </w:r>
            <w:r w:rsidRPr="00570A4D">
              <w:rPr>
                <w:i/>
                <w:u w:val="single"/>
              </w:rPr>
              <w:t>Ministarstava turizma i sporta</w:t>
            </w:r>
            <w:r>
              <w:t xml:space="preserve">, u postupku odabira projekata u okviru </w:t>
            </w:r>
            <w:r w:rsidRPr="00570A4D">
              <w:rPr>
                <w:i/>
                <w:u w:val="single"/>
              </w:rPr>
              <w:t>Poziva za dodjelu bespovratnih sredstava NPOO</w:t>
            </w:r>
            <w:r>
              <w:t xml:space="preserve"> Daruvarske toplice su odabrane za sufinanciranje investicije kojom su aplicirale na natječaj. </w:t>
            </w:r>
          </w:p>
          <w:p w14:paraId="7ACC41EE" w14:textId="62CE1FFE" w:rsidR="00557BCC" w:rsidRPr="00570A4D" w:rsidRDefault="0002547D" w:rsidP="009E6FC5">
            <w:pPr>
              <w:jc w:val="both"/>
              <w:rPr>
                <w:i/>
                <w:u w:val="single"/>
              </w:rPr>
            </w:pPr>
            <w:r>
              <w:t>U 2025. je p</w:t>
            </w:r>
            <w:r w:rsidR="0052565F">
              <w:t>lanom</w:t>
            </w:r>
            <w:r>
              <w:t xml:space="preserve"> </w:t>
            </w:r>
            <w:r w:rsidR="005445C9">
              <w:t>pre</w:t>
            </w:r>
            <w:r>
              <w:t>d</w:t>
            </w:r>
            <w:r w:rsidR="005445C9">
              <w:t>viđen početak</w:t>
            </w:r>
            <w:r w:rsidR="0052565F">
              <w:t xml:space="preserve"> investicij</w:t>
            </w:r>
            <w:r>
              <w:t>e pod nazivom</w:t>
            </w:r>
            <w:r w:rsidR="005445C9">
              <w:t xml:space="preserve"> </w:t>
            </w:r>
            <w:r w:rsidR="005445C9" w:rsidRPr="00570A4D">
              <w:rPr>
                <w:i/>
                <w:u w:val="single"/>
              </w:rPr>
              <w:t>Unaprjeđenje ponude lječilišnog i wellness turizma Daruvarskih toplica kroz razvoj turističkih proizvoda visoke dodane vrijednosti, Daruvarske toplice.</w:t>
            </w:r>
            <w:r w:rsidR="005445C9">
              <w:t xml:space="preserve"> Ukupna vrijednost investicije pre</w:t>
            </w:r>
            <w:r w:rsidR="00557BCC">
              <w:t>d</w:t>
            </w:r>
            <w:r w:rsidR="005445C9">
              <w:t xml:space="preserve">viđena je u iznosu od </w:t>
            </w:r>
            <w:r w:rsidR="005445C9" w:rsidRPr="00570A4D">
              <w:rPr>
                <w:b/>
              </w:rPr>
              <w:t>16.741.124 EUR</w:t>
            </w:r>
            <w:r>
              <w:t xml:space="preserve">. </w:t>
            </w:r>
            <w:r w:rsidR="00557BCC">
              <w:t xml:space="preserve">Bespovratna sredstva koja će Ustanovi biti dodijeljena iznose </w:t>
            </w:r>
            <w:r w:rsidR="00557BCC" w:rsidRPr="00570A4D">
              <w:rPr>
                <w:b/>
              </w:rPr>
              <w:t>13.196.211 EUR</w:t>
            </w:r>
            <w:r w:rsidR="00557BCC">
              <w:t xml:space="preserve"> ostatak sredstava bit će sufinanciran iz vlastitih sredstava, </w:t>
            </w:r>
            <w:r w:rsidR="00557BCC" w:rsidRPr="00570A4D">
              <w:rPr>
                <w:i/>
                <w:u w:val="single"/>
              </w:rPr>
              <w:t>iz prenesenog viška iz prethodnih godina i dizanjem zajma</w:t>
            </w:r>
            <w:r w:rsidR="001B4089" w:rsidRPr="00570A4D">
              <w:rPr>
                <w:i/>
                <w:u w:val="single"/>
              </w:rPr>
              <w:t xml:space="preserve"> u iznosu od 2.500</w:t>
            </w:r>
            <w:r w:rsidR="00557BCC" w:rsidRPr="00570A4D">
              <w:rPr>
                <w:i/>
                <w:u w:val="single"/>
              </w:rPr>
              <w:t>.</w:t>
            </w:r>
            <w:r w:rsidR="001B4089" w:rsidRPr="00570A4D">
              <w:rPr>
                <w:i/>
                <w:u w:val="single"/>
              </w:rPr>
              <w:t>000 EUR.</w:t>
            </w:r>
            <w:r w:rsidR="00557BCC" w:rsidRPr="00570A4D">
              <w:rPr>
                <w:i/>
                <w:u w:val="single"/>
              </w:rPr>
              <w:t xml:space="preserve"> </w:t>
            </w:r>
          </w:p>
          <w:p w14:paraId="2F52AA9A" w14:textId="77777777" w:rsidR="00570A4D" w:rsidRDefault="00570A4D" w:rsidP="009E6FC5">
            <w:pPr>
              <w:jc w:val="both"/>
            </w:pPr>
            <w:r>
              <w:t xml:space="preserve">Rok za izvođenje investicije je 2025. i 2026. godina. U 2025. godini je u planu povući </w:t>
            </w:r>
            <w:r w:rsidRPr="00570A4D">
              <w:rPr>
                <w:b/>
              </w:rPr>
              <w:t>6.435.161 EUR-a iz sredstava EU</w:t>
            </w:r>
            <w:r>
              <w:t>.</w:t>
            </w:r>
          </w:p>
          <w:p w14:paraId="7D9E5BC1" w14:textId="42EE62EA" w:rsidR="00A01109" w:rsidRPr="00B52670" w:rsidRDefault="00570A4D" w:rsidP="009E6FC5">
            <w:pPr>
              <w:jc w:val="both"/>
            </w:pPr>
            <w:r>
              <w:t xml:space="preserve">Na ime </w:t>
            </w:r>
            <w:r w:rsidRPr="00570A4D">
              <w:rPr>
                <w:i/>
                <w:u w:val="single"/>
              </w:rPr>
              <w:t>refundacije plaća za pripravnike Ustanova planira povući 66.600 EUR</w:t>
            </w:r>
            <w:r>
              <w:t xml:space="preserve">. </w:t>
            </w:r>
            <w:r w:rsidR="00557BCC">
              <w:t xml:space="preserve">   </w:t>
            </w:r>
            <w:r w:rsidR="005445C9">
              <w:t xml:space="preserve"> </w:t>
            </w:r>
            <w:r w:rsidR="0052565F">
              <w:t xml:space="preserve">  </w:t>
            </w:r>
            <w:r w:rsidR="00A01109">
              <w:t xml:space="preserve">       </w:t>
            </w:r>
          </w:p>
          <w:p w14:paraId="3F33061B" w14:textId="77777777" w:rsidR="00A01109" w:rsidRPr="00B52670" w:rsidRDefault="00A01109" w:rsidP="009E6FC5">
            <w:pPr>
              <w:jc w:val="both"/>
              <w:rPr>
                <w:b/>
              </w:rPr>
            </w:pPr>
          </w:p>
        </w:tc>
      </w:tr>
    </w:tbl>
    <w:p w14:paraId="18F2285E" w14:textId="77777777" w:rsidR="009E6FC5" w:rsidRDefault="009E6FC5">
      <w:r>
        <w:br w:type="page"/>
      </w:r>
    </w:p>
    <w:tbl>
      <w:tblPr>
        <w:tblpPr w:leftFromText="180" w:rightFromText="180" w:vertAnchor="page" w:horzAnchor="margin" w:tblpY="3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139"/>
      </w:tblGrid>
      <w:tr w:rsidR="00A01109" w:rsidRPr="00B52670" w14:paraId="5EA6D9EA" w14:textId="77777777" w:rsidTr="00263C61">
        <w:tc>
          <w:tcPr>
            <w:tcW w:w="1923" w:type="dxa"/>
            <w:shd w:val="clear" w:color="auto" w:fill="auto"/>
          </w:tcPr>
          <w:p w14:paraId="36741C99" w14:textId="3F9A2E61" w:rsidR="00A01109" w:rsidRPr="00B52670" w:rsidRDefault="00A01109" w:rsidP="00263C61">
            <w:pPr>
              <w:rPr>
                <w:b/>
                <w:bCs/>
                <w:color w:val="000000"/>
              </w:rPr>
            </w:pPr>
            <w:r>
              <w:rPr>
                <w:b/>
                <w:bCs/>
                <w:color w:val="000000"/>
              </w:rPr>
              <w:lastRenderedPageBreak/>
              <w:t>Opis 4</w:t>
            </w:r>
            <w:r w:rsidRPr="00B52670">
              <w:rPr>
                <w:b/>
                <w:bCs/>
                <w:color w:val="000000"/>
              </w:rPr>
              <w:t>:</w:t>
            </w:r>
          </w:p>
          <w:p w14:paraId="1F79F346" w14:textId="77777777" w:rsidR="00A01109" w:rsidRPr="00B52670" w:rsidRDefault="00A01109" w:rsidP="00263C61">
            <w:pPr>
              <w:rPr>
                <w:b/>
                <w:bCs/>
                <w:color w:val="000000"/>
              </w:rPr>
            </w:pPr>
          </w:p>
        </w:tc>
        <w:tc>
          <w:tcPr>
            <w:tcW w:w="7139" w:type="dxa"/>
            <w:shd w:val="clear" w:color="auto" w:fill="auto"/>
          </w:tcPr>
          <w:p w14:paraId="2476882B" w14:textId="77777777" w:rsidR="00A01109" w:rsidRDefault="00A01109" w:rsidP="00263C61">
            <w:pPr>
              <w:jc w:val="both"/>
              <w:rPr>
                <w:b/>
              </w:rPr>
            </w:pPr>
            <w:r w:rsidRPr="00F15723">
              <w:rPr>
                <w:b/>
              </w:rPr>
              <w:t xml:space="preserve">Izvor 4 </w:t>
            </w:r>
            <w:r w:rsidRPr="00B52670">
              <w:rPr>
                <w:b/>
              </w:rPr>
              <w:t xml:space="preserve"> PRIHODI OD PRODAJE  ILI ZAMJENE </w:t>
            </w:r>
          </w:p>
          <w:p w14:paraId="725294E3" w14:textId="77777777" w:rsidR="00A01109" w:rsidRPr="00B52670" w:rsidRDefault="00A01109" w:rsidP="00263C61">
            <w:pPr>
              <w:jc w:val="both"/>
              <w:rPr>
                <w:b/>
              </w:rPr>
            </w:pPr>
          </w:p>
          <w:p w14:paraId="6526BC4D" w14:textId="0B938184" w:rsidR="00A01109" w:rsidRDefault="00A01109" w:rsidP="00263C61">
            <w:pPr>
              <w:jc w:val="both"/>
            </w:pPr>
            <w:r>
              <w:t>Prihode od prodaje nefinancijske imovine i nadoknade šteta s osnova osiguranja planiramo u iznosu od</w:t>
            </w:r>
            <w:r w:rsidRPr="00B52670">
              <w:t xml:space="preserve"> </w:t>
            </w:r>
            <w:r w:rsidR="00570A4D" w:rsidRPr="00570A4D">
              <w:rPr>
                <w:b/>
              </w:rPr>
              <w:t>5</w:t>
            </w:r>
            <w:r w:rsidRPr="00570A4D">
              <w:rPr>
                <w:b/>
              </w:rPr>
              <w:t>.</w:t>
            </w:r>
            <w:r>
              <w:rPr>
                <w:b/>
              </w:rPr>
              <w:t>000 EUR-a</w:t>
            </w:r>
            <w:r>
              <w:t xml:space="preserve"> temeljem</w:t>
            </w:r>
            <w:r w:rsidRPr="00B52670">
              <w:t xml:space="preserve"> </w:t>
            </w:r>
            <w:r>
              <w:t>r</w:t>
            </w:r>
            <w:r w:rsidRPr="00B52670">
              <w:t>efundacije šteta po pri</w:t>
            </w:r>
            <w:r>
              <w:t>javama osiguravajućim društvima.</w:t>
            </w:r>
          </w:p>
          <w:p w14:paraId="1A12CF49" w14:textId="77777777" w:rsidR="00A01109" w:rsidRPr="00F15723" w:rsidRDefault="00A01109" w:rsidP="00263C61">
            <w:pPr>
              <w:jc w:val="both"/>
              <w:rPr>
                <w: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7139"/>
      </w:tblGrid>
      <w:tr w:rsidR="001B4089" w:rsidRPr="00B52670" w14:paraId="254AE2C2" w14:textId="77777777" w:rsidTr="001B4089">
        <w:trPr>
          <w:trHeight w:val="901"/>
        </w:trPr>
        <w:tc>
          <w:tcPr>
            <w:tcW w:w="1923" w:type="dxa"/>
            <w:shd w:val="clear" w:color="auto" w:fill="auto"/>
          </w:tcPr>
          <w:p w14:paraId="5763D319" w14:textId="10A0EE8D" w:rsidR="001B4089" w:rsidRDefault="009E6FC5" w:rsidP="00CC4EDE">
            <w:pPr>
              <w:rPr>
                <w:b/>
                <w:bCs/>
                <w:color w:val="000000"/>
              </w:rPr>
            </w:pPr>
            <w:r>
              <w:br w:type="page"/>
            </w:r>
            <w:r w:rsidR="00570A4D">
              <w:rPr>
                <w:b/>
                <w:bCs/>
                <w:color w:val="000000"/>
              </w:rPr>
              <w:t>Opis 5:</w:t>
            </w:r>
          </w:p>
        </w:tc>
        <w:tc>
          <w:tcPr>
            <w:tcW w:w="7139" w:type="dxa"/>
            <w:shd w:val="clear" w:color="auto" w:fill="auto"/>
          </w:tcPr>
          <w:p w14:paraId="2F80716C" w14:textId="5CE82942" w:rsidR="00570A4D" w:rsidRDefault="002E64D2" w:rsidP="00570A4D">
            <w:pPr>
              <w:jc w:val="both"/>
              <w:rPr>
                <w:b/>
              </w:rPr>
            </w:pPr>
            <w:r>
              <w:rPr>
                <w:b/>
              </w:rPr>
              <w:t>Izvor 5 NA</w:t>
            </w:r>
            <w:r w:rsidR="00570A4D">
              <w:rPr>
                <w:b/>
              </w:rPr>
              <w:t>MJENSKI PRIMICI OD ZADUŽIVANJA</w:t>
            </w:r>
          </w:p>
          <w:p w14:paraId="3E208682" w14:textId="77777777" w:rsidR="00570A4D" w:rsidRDefault="00570A4D" w:rsidP="00570A4D">
            <w:pPr>
              <w:jc w:val="both"/>
              <w:rPr>
                <w:b/>
              </w:rPr>
            </w:pPr>
          </w:p>
          <w:p w14:paraId="07DD899A" w14:textId="0E06445E" w:rsidR="00570A4D" w:rsidRPr="00570A4D" w:rsidRDefault="00570A4D" w:rsidP="00570A4D">
            <w:pPr>
              <w:jc w:val="both"/>
            </w:pPr>
            <w:r>
              <w:t xml:space="preserve">U 2025. godini Ustanova planira dizanje zajma u iznosu od </w:t>
            </w:r>
            <w:r w:rsidRPr="00570A4D">
              <w:rPr>
                <w:b/>
              </w:rPr>
              <w:t>2.500.000 EUR</w:t>
            </w:r>
            <w:r>
              <w:rPr>
                <w:b/>
              </w:rPr>
              <w:t xml:space="preserve"> </w:t>
            </w:r>
            <w:r>
              <w:t xml:space="preserve">za sufinanciranje investicije </w:t>
            </w:r>
            <w:r w:rsidRPr="00570A4D">
              <w:rPr>
                <w:i/>
                <w:u w:val="single"/>
              </w:rPr>
              <w:t xml:space="preserve">Unaprjeđenje ponude lječilišnog i wellness turizma Daruvarskih toplica kroz razvoj turističkih proizvoda visoke dodane </w:t>
            </w:r>
            <w:r>
              <w:rPr>
                <w:i/>
                <w:u w:val="single"/>
              </w:rPr>
              <w:t xml:space="preserve">vrijednosti, Daruvarske toplice </w:t>
            </w:r>
            <w:r>
              <w:t>koja će biti dijelom sufinancirana sredstvima iz EU.</w:t>
            </w:r>
          </w:p>
          <w:p w14:paraId="2BA648FD" w14:textId="77777777" w:rsidR="001B4089" w:rsidRPr="00F15723" w:rsidRDefault="001B4089" w:rsidP="00CC4EDE">
            <w:pPr>
              <w:jc w:val="both"/>
              <w:rPr>
                <w:b/>
              </w:rPr>
            </w:pPr>
          </w:p>
        </w:tc>
      </w:tr>
      <w:tr w:rsidR="00A01109" w:rsidRPr="00B52670" w14:paraId="6B9A746D" w14:textId="77777777" w:rsidTr="001B4089">
        <w:tc>
          <w:tcPr>
            <w:tcW w:w="1923" w:type="dxa"/>
            <w:shd w:val="clear" w:color="auto" w:fill="auto"/>
          </w:tcPr>
          <w:p w14:paraId="4202E144" w14:textId="00D50997" w:rsidR="00A01109" w:rsidRPr="00B52670" w:rsidRDefault="00A01109" w:rsidP="00CC4EDE">
            <w:pPr>
              <w:rPr>
                <w:b/>
                <w:bCs/>
                <w:color w:val="000000"/>
              </w:rPr>
            </w:pPr>
            <w:r>
              <w:rPr>
                <w:b/>
                <w:bCs/>
                <w:color w:val="000000"/>
              </w:rPr>
              <w:t>Pokazatelji uspješnosti:</w:t>
            </w:r>
          </w:p>
          <w:p w14:paraId="0388BFD4" w14:textId="77777777" w:rsidR="00A01109" w:rsidRPr="00B52670" w:rsidRDefault="00A01109" w:rsidP="00CC4EDE">
            <w:pPr>
              <w:rPr>
                <w:b/>
                <w:bCs/>
                <w:color w:val="000000"/>
              </w:rPr>
            </w:pPr>
          </w:p>
        </w:tc>
        <w:tc>
          <w:tcPr>
            <w:tcW w:w="7139" w:type="dxa"/>
            <w:shd w:val="clear" w:color="auto" w:fill="auto"/>
          </w:tcPr>
          <w:p w14:paraId="3033DE7D" w14:textId="77777777" w:rsidR="00A01109" w:rsidRDefault="00A01109" w:rsidP="00CC4EDE">
            <w:pPr>
              <w:jc w:val="both"/>
            </w:pPr>
            <w:r>
              <w:t xml:space="preserve">Pružanje usluga najviše kvalitete tijekom cijele godine, učinit će korisnike zadovoljnim što su za plaćenu cijenu dobili više od očekivane vrijednosti ili više od vrijednosti koju nudi konkurencija osigurat će uspješno poslovanje, trajni opstanak i održivi razvitak Daruvarskih toplica u budućnosti.  </w:t>
            </w:r>
          </w:p>
          <w:p w14:paraId="50EB3D46" w14:textId="77777777" w:rsidR="00A01109" w:rsidRPr="00B52670" w:rsidRDefault="00A01109" w:rsidP="00CC4EDE">
            <w:pPr>
              <w:jc w:val="both"/>
            </w:pPr>
          </w:p>
        </w:tc>
      </w:tr>
    </w:tbl>
    <w:p w14:paraId="5F2C0694" w14:textId="77777777" w:rsidR="00A01109" w:rsidRPr="00B52670" w:rsidRDefault="00A01109" w:rsidP="00A01109">
      <w:pPr>
        <w:rPr>
          <w:color w:val="FF0000"/>
        </w:rPr>
      </w:pPr>
      <w:bookmarkStart w:id="0" w:name="_GoBack"/>
      <w:bookmarkEnd w:id="0"/>
    </w:p>
    <w:tbl>
      <w:tblPr>
        <w:tblpPr w:leftFromText="180" w:rightFromText="180" w:vertAnchor="page" w:horzAnchor="margin" w:tblpY="3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5121"/>
        <w:gridCol w:w="2022"/>
      </w:tblGrid>
      <w:tr w:rsidR="00A01109" w:rsidRPr="00B52670" w14:paraId="7456C75E" w14:textId="77777777" w:rsidTr="005E51CD">
        <w:tc>
          <w:tcPr>
            <w:tcW w:w="1919" w:type="dxa"/>
            <w:shd w:val="clear" w:color="auto" w:fill="auto"/>
          </w:tcPr>
          <w:p w14:paraId="3705444B" w14:textId="77777777" w:rsidR="00A01109" w:rsidRPr="00B52670" w:rsidRDefault="00A01109" w:rsidP="005E51CD">
            <w:pPr>
              <w:rPr>
                <w:b/>
                <w:bCs/>
                <w:color w:val="000000"/>
              </w:rPr>
            </w:pPr>
            <w:r w:rsidRPr="00B52670">
              <w:rPr>
                <w:b/>
                <w:bCs/>
                <w:color w:val="000000"/>
              </w:rPr>
              <w:lastRenderedPageBreak/>
              <w:t>Aktivnost:</w:t>
            </w:r>
          </w:p>
        </w:tc>
        <w:tc>
          <w:tcPr>
            <w:tcW w:w="5121" w:type="dxa"/>
            <w:shd w:val="clear" w:color="auto" w:fill="auto"/>
          </w:tcPr>
          <w:p w14:paraId="6019B3A2" w14:textId="77777777" w:rsidR="00A01109" w:rsidRPr="00B52670" w:rsidRDefault="00A01109" w:rsidP="005E51CD">
            <w:pPr>
              <w:rPr>
                <w:b/>
                <w:bCs/>
                <w:color w:val="000000"/>
              </w:rPr>
            </w:pPr>
            <w:r w:rsidRPr="00B52670">
              <w:rPr>
                <w:b/>
                <w:bCs/>
              </w:rPr>
              <w:t>A400201 Rashodi djelatnosti</w:t>
            </w:r>
            <w:r w:rsidRPr="00B52670">
              <w:rPr>
                <w:b/>
                <w:bCs/>
                <w:color w:val="FF0000"/>
              </w:rPr>
              <w:t xml:space="preserve">  </w:t>
            </w:r>
          </w:p>
        </w:tc>
        <w:tc>
          <w:tcPr>
            <w:tcW w:w="2022" w:type="dxa"/>
            <w:shd w:val="clear" w:color="auto" w:fill="auto"/>
          </w:tcPr>
          <w:p w14:paraId="550D2524" w14:textId="60B89D82" w:rsidR="00A01109" w:rsidRPr="00B52670" w:rsidRDefault="00F662B4" w:rsidP="005E51CD">
            <w:pPr>
              <w:jc w:val="right"/>
              <w:rPr>
                <w:b/>
                <w:bCs/>
                <w:color w:val="000000"/>
              </w:rPr>
            </w:pPr>
            <w:r>
              <w:rPr>
                <w:b/>
                <w:bCs/>
                <w:color w:val="000000"/>
              </w:rPr>
              <w:t>21.088.219</w:t>
            </w:r>
            <w:r w:rsidR="00A01109">
              <w:rPr>
                <w:b/>
                <w:bCs/>
                <w:color w:val="000000"/>
              </w:rPr>
              <w:t xml:space="preserve"> EUR</w:t>
            </w:r>
          </w:p>
        </w:tc>
      </w:tr>
      <w:tr w:rsidR="00A01109" w:rsidRPr="00B52670" w14:paraId="53182D84" w14:textId="77777777" w:rsidTr="005E51CD">
        <w:tc>
          <w:tcPr>
            <w:tcW w:w="1919" w:type="dxa"/>
            <w:shd w:val="clear" w:color="auto" w:fill="auto"/>
          </w:tcPr>
          <w:p w14:paraId="402B5390" w14:textId="77777777" w:rsidR="00A01109" w:rsidRPr="00B52670" w:rsidRDefault="00A01109" w:rsidP="005E51CD">
            <w:pPr>
              <w:rPr>
                <w:b/>
                <w:bCs/>
                <w:color w:val="000000"/>
              </w:rPr>
            </w:pPr>
            <w:r w:rsidRPr="00B52670">
              <w:rPr>
                <w:b/>
                <w:bCs/>
                <w:color w:val="000000"/>
              </w:rPr>
              <w:t>Opis:</w:t>
            </w:r>
          </w:p>
        </w:tc>
        <w:tc>
          <w:tcPr>
            <w:tcW w:w="7143" w:type="dxa"/>
            <w:gridSpan w:val="2"/>
            <w:shd w:val="clear" w:color="auto" w:fill="auto"/>
          </w:tcPr>
          <w:p w14:paraId="5931A33D" w14:textId="77777777" w:rsidR="00A01109" w:rsidRDefault="00A01109" w:rsidP="005E51CD">
            <w:pPr>
              <w:rPr>
                <w:bCs/>
                <w:color w:val="000000"/>
              </w:rPr>
            </w:pPr>
            <w:r w:rsidRPr="00B52670">
              <w:rPr>
                <w:bCs/>
                <w:color w:val="000000"/>
              </w:rPr>
              <w:t>U sklopu ove aktivnosti obuhvaćeni su rashodi za zaposlene, materijalni i financijski rashodi poslovanja  po izvorima financiranja.</w:t>
            </w:r>
          </w:p>
          <w:p w14:paraId="60503286" w14:textId="77777777" w:rsidR="00A01109" w:rsidRPr="00B52670" w:rsidRDefault="00A01109" w:rsidP="005E51CD">
            <w:pPr>
              <w:rPr>
                <w:bCs/>
                <w:color w:val="000000"/>
              </w:rPr>
            </w:pPr>
          </w:p>
          <w:p w14:paraId="7FAF36F0" w14:textId="241D0EC5" w:rsidR="00A01109" w:rsidRPr="00DC0A93" w:rsidRDefault="00A01109" w:rsidP="005E51CD">
            <w:pPr>
              <w:rPr>
                <w:bCs/>
                <w:color w:val="000000"/>
              </w:rPr>
            </w:pPr>
            <w:r>
              <w:rPr>
                <w:bCs/>
                <w:color w:val="000000"/>
              </w:rPr>
              <w:t xml:space="preserve">Iz </w:t>
            </w:r>
            <w:r w:rsidRPr="006902F4">
              <w:rPr>
                <w:bCs/>
                <w:i/>
                <w:color w:val="000000"/>
                <w:u w:val="single"/>
              </w:rPr>
              <w:t>prihoda za posebne namjene</w:t>
            </w:r>
            <w:r>
              <w:rPr>
                <w:bCs/>
                <w:color w:val="000000"/>
              </w:rPr>
              <w:t xml:space="preserve"> podmiruje se</w:t>
            </w:r>
            <w:r w:rsidRPr="00B52670">
              <w:rPr>
                <w:bCs/>
                <w:color w:val="000000"/>
              </w:rPr>
              <w:t xml:space="preserve"> dio</w:t>
            </w:r>
            <w:r>
              <w:rPr>
                <w:bCs/>
                <w:color w:val="000000"/>
              </w:rPr>
              <w:t xml:space="preserve"> troškova</w:t>
            </w:r>
            <w:r w:rsidRPr="00B52670">
              <w:rPr>
                <w:bCs/>
                <w:color w:val="000000"/>
              </w:rPr>
              <w:t xml:space="preserve"> </w:t>
            </w:r>
            <w:r w:rsidRPr="006902F4">
              <w:rPr>
                <w:b/>
                <w:bCs/>
                <w:color w:val="000000"/>
              </w:rPr>
              <w:t>bruto plaća</w:t>
            </w:r>
            <w:r>
              <w:rPr>
                <w:b/>
                <w:bCs/>
                <w:color w:val="000000"/>
              </w:rPr>
              <w:t>,</w:t>
            </w:r>
            <w:r w:rsidRPr="00B52670">
              <w:rPr>
                <w:bCs/>
                <w:color w:val="000000"/>
              </w:rPr>
              <w:t xml:space="preserve"> u iznosu od</w:t>
            </w:r>
            <w:r>
              <w:rPr>
                <w:bCs/>
                <w:color w:val="000000"/>
              </w:rPr>
              <w:t xml:space="preserve"> </w:t>
            </w:r>
            <w:r w:rsidR="00F662B4">
              <w:rPr>
                <w:b/>
                <w:bCs/>
                <w:color w:val="000000"/>
              </w:rPr>
              <w:t>4.578.098</w:t>
            </w:r>
            <w:r w:rsidRPr="00212675">
              <w:rPr>
                <w:b/>
                <w:bCs/>
                <w:color w:val="000000"/>
              </w:rPr>
              <w:t xml:space="preserve"> </w:t>
            </w:r>
            <w:r w:rsidRPr="00212675">
              <w:rPr>
                <w:bCs/>
                <w:color w:val="000000"/>
              </w:rPr>
              <w:t>EUR-a</w:t>
            </w:r>
            <w:r>
              <w:rPr>
                <w:bCs/>
                <w:color w:val="000000"/>
              </w:rPr>
              <w:t>.</w:t>
            </w:r>
          </w:p>
          <w:p w14:paraId="7FDB837A" w14:textId="77777777" w:rsidR="00A01109" w:rsidRPr="007763F5" w:rsidRDefault="00A01109" w:rsidP="005E51CD">
            <w:pPr>
              <w:rPr>
                <w:b/>
                <w:bCs/>
                <w:color w:val="000000"/>
              </w:rPr>
            </w:pPr>
          </w:p>
          <w:p w14:paraId="234FEDE9" w14:textId="77777777" w:rsidR="00A01109" w:rsidRDefault="00A01109" w:rsidP="005E51CD">
            <w:pPr>
              <w:rPr>
                <w:bCs/>
                <w:color w:val="000000"/>
              </w:rPr>
            </w:pPr>
            <w:r w:rsidRPr="00B52670">
              <w:rPr>
                <w:bCs/>
                <w:color w:val="000000"/>
              </w:rPr>
              <w:t>Iz</w:t>
            </w:r>
            <w:r>
              <w:rPr>
                <w:bCs/>
                <w:color w:val="000000"/>
              </w:rPr>
              <w:t xml:space="preserve"> </w:t>
            </w:r>
            <w:r w:rsidRPr="000E61FB">
              <w:rPr>
                <w:bCs/>
                <w:i/>
                <w:color w:val="000000"/>
                <w:u w:val="single"/>
              </w:rPr>
              <w:t>vlastitih prihoda</w:t>
            </w:r>
            <w:r>
              <w:rPr>
                <w:bCs/>
                <w:color w:val="000000"/>
              </w:rPr>
              <w:t xml:space="preserve">  planirano je </w:t>
            </w:r>
            <w:r w:rsidRPr="00B52670">
              <w:rPr>
                <w:bCs/>
                <w:color w:val="000000"/>
              </w:rPr>
              <w:t xml:space="preserve"> </w:t>
            </w:r>
            <w:r>
              <w:rPr>
                <w:bCs/>
                <w:color w:val="000000"/>
              </w:rPr>
              <w:t>podmiriti slijedeće troškove:</w:t>
            </w:r>
          </w:p>
          <w:p w14:paraId="4C66D098" w14:textId="77777777" w:rsidR="00A01109" w:rsidRPr="00B52670" w:rsidRDefault="00A01109" w:rsidP="005E51CD">
            <w:pPr>
              <w:rPr>
                <w:bCs/>
                <w:color w:val="000000"/>
              </w:rPr>
            </w:pPr>
          </w:p>
          <w:p w14:paraId="1F5D45F7" w14:textId="7C1B01D4" w:rsidR="00A01109" w:rsidRPr="0073002E" w:rsidRDefault="00A01109" w:rsidP="005E51CD">
            <w:pPr>
              <w:numPr>
                <w:ilvl w:val="0"/>
                <w:numId w:val="21"/>
              </w:numPr>
              <w:spacing w:after="0"/>
              <w:rPr>
                <w:bCs/>
                <w:color w:val="000000"/>
              </w:rPr>
            </w:pPr>
            <w:r w:rsidRPr="0073002E">
              <w:rPr>
                <w:bCs/>
                <w:color w:val="000000"/>
                <w:u w:val="single"/>
              </w:rPr>
              <w:t xml:space="preserve">dio rashoda za zaposlene u iznosu od </w:t>
            </w:r>
            <w:r w:rsidR="00F662B4">
              <w:rPr>
                <w:bCs/>
                <w:color w:val="000000"/>
                <w:u w:val="single"/>
              </w:rPr>
              <w:t>1.997.585</w:t>
            </w:r>
            <w:r w:rsidRPr="00212675">
              <w:rPr>
                <w:b/>
                <w:bCs/>
                <w:color w:val="000000"/>
                <w:u w:val="single"/>
              </w:rPr>
              <w:t xml:space="preserve"> </w:t>
            </w:r>
            <w:r w:rsidRPr="00212675">
              <w:rPr>
                <w:bCs/>
                <w:color w:val="000000"/>
                <w:u w:val="single"/>
              </w:rPr>
              <w:t>EUR</w:t>
            </w:r>
            <w:r>
              <w:rPr>
                <w:bCs/>
                <w:color w:val="000000"/>
              </w:rPr>
              <w:t>-a</w:t>
            </w:r>
            <w:r w:rsidRPr="0073002E">
              <w:rPr>
                <w:bCs/>
                <w:color w:val="000000"/>
              </w:rPr>
              <w:t>. Pl</w:t>
            </w:r>
            <w:r>
              <w:rPr>
                <w:bCs/>
                <w:color w:val="000000"/>
              </w:rPr>
              <w:t xml:space="preserve">anom predviđeni </w:t>
            </w:r>
            <w:r w:rsidR="00F662B4">
              <w:rPr>
                <w:bCs/>
                <w:color w:val="000000"/>
              </w:rPr>
              <w:t>troškovi za 2025</w:t>
            </w:r>
            <w:r w:rsidRPr="0073002E">
              <w:rPr>
                <w:bCs/>
                <w:color w:val="000000"/>
              </w:rPr>
              <w:t>. uključuju sva davanja prema zaposlenicima prema kolektivnom ugovoru,  uključuje prigodnu nagradu – naknad</w:t>
            </w:r>
            <w:r>
              <w:rPr>
                <w:bCs/>
                <w:color w:val="000000"/>
              </w:rPr>
              <w:t>u za godišnji odmor, Božićnicu,</w:t>
            </w:r>
            <w:r w:rsidRPr="0073002E">
              <w:rPr>
                <w:bCs/>
                <w:color w:val="000000"/>
              </w:rPr>
              <w:t xml:space="preserve"> dar za djecu</w:t>
            </w:r>
            <w:r>
              <w:rPr>
                <w:bCs/>
                <w:color w:val="000000"/>
              </w:rPr>
              <w:t xml:space="preserve">, i ostale naknade na koje zaposlenici ostvaruju prava ( naknada za smrtni slučaj, naknada za bolovanje duže od 90 dana, naknada za novorođenče ) </w:t>
            </w:r>
            <w:r w:rsidRPr="0073002E">
              <w:rPr>
                <w:bCs/>
                <w:color w:val="000000"/>
              </w:rPr>
              <w:t xml:space="preserve">. </w:t>
            </w:r>
          </w:p>
          <w:p w14:paraId="5851DA0A" w14:textId="31955589" w:rsidR="00A01109" w:rsidRPr="00C64C5D" w:rsidRDefault="00A01109" w:rsidP="005E51CD">
            <w:pPr>
              <w:numPr>
                <w:ilvl w:val="0"/>
                <w:numId w:val="21"/>
              </w:numPr>
              <w:spacing w:after="0"/>
              <w:rPr>
                <w:bCs/>
                <w:color w:val="000000"/>
              </w:rPr>
            </w:pPr>
            <w:r>
              <w:rPr>
                <w:bCs/>
                <w:color w:val="000000"/>
                <w:u w:val="single"/>
              </w:rPr>
              <w:t xml:space="preserve">materijalne rashode u iznosu od </w:t>
            </w:r>
            <w:r w:rsidRPr="00072FD5">
              <w:rPr>
                <w:b/>
                <w:bCs/>
                <w:color w:val="000000"/>
                <w:u w:val="single"/>
              </w:rPr>
              <w:t>2.</w:t>
            </w:r>
            <w:r w:rsidR="00F662B4">
              <w:rPr>
                <w:b/>
                <w:bCs/>
                <w:color w:val="000000"/>
                <w:u w:val="single"/>
              </w:rPr>
              <w:t>519</w:t>
            </w:r>
            <w:r w:rsidRPr="00072FD5">
              <w:rPr>
                <w:b/>
                <w:bCs/>
                <w:color w:val="000000"/>
                <w:u w:val="single"/>
              </w:rPr>
              <w:t>.</w:t>
            </w:r>
            <w:r w:rsidR="00F662B4">
              <w:rPr>
                <w:b/>
                <w:bCs/>
                <w:color w:val="000000"/>
                <w:u w:val="single"/>
              </w:rPr>
              <w:t>833</w:t>
            </w:r>
            <w:r>
              <w:rPr>
                <w:bCs/>
                <w:color w:val="000000"/>
                <w:u w:val="single"/>
              </w:rPr>
              <w:t xml:space="preserve"> EUR</w:t>
            </w:r>
            <w:r>
              <w:rPr>
                <w:bCs/>
                <w:color w:val="000000"/>
              </w:rPr>
              <w:t>-a.</w:t>
            </w:r>
            <w:r w:rsidRPr="00C64C5D">
              <w:rPr>
                <w:bCs/>
                <w:color w:val="000000"/>
              </w:rPr>
              <w:t xml:space="preserve">  </w:t>
            </w:r>
          </w:p>
          <w:p w14:paraId="57268C25" w14:textId="77777777" w:rsidR="00A01109" w:rsidRPr="009C697E" w:rsidRDefault="00A01109" w:rsidP="005E51CD">
            <w:pPr>
              <w:rPr>
                <w:bCs/>
                <w:color w:val="000000"/>
              </w:rPr>
            </w:pPr>
          </w:p>
          <w:p w14:paraId="7CDB5176" w14:textId="0454C4B8" w:rsidR="00A01109" w:rsidRPr="00E265F8" w:rsidRDefault="00A01109" w:rsidP="005E51CD">
            <w:pPr>
              <w:numPr>
                <w:ilvl w:val="0"/>
                <w:numId w:val="21"/>
              </w:numPr>
              <w:spacing w:after="0"/>
              <w:rPr>
                <w:bCs/>
                <w:color w:val="000000"/>
                <w:u w:val="single"/>
              </w:rPr>
            </w:pPr>
            <w:r w:rsidRPr="00E265F8">
              <w:rPr>
                <w:bCs/>
                <w:color w:val="000000"/>
                <w:u w:val="single"/>
              </w:rPr>
              <w:t xml:space="preserve">financijske rashode  u iznosu od </w:t>
            </w:r>
            <w:r w:rsidR="00F662B4">
              <w:rPr>
                <w:b/>
                <w:bCs/>
                <w:color w:val="000000"/>
                <w:u w:val="single"/>
              </w:rPr>
              <w:t>49.316</w:t>
            </w:r>
            <w:r>
              <w:rPr>
                <w:bCs/>
                <w:color w:val="000000"/>
                <w:u w:val="single"/>
              </w:rPr>
              <w:t xml:space="preserve"> EUR-a</w:t>
            </w:r>
            <w:r w:rsidRPr="00E265F8">
              <w:rPr>
                <w:bCs/>
                <w:color w:val="000000"/>
                <w:u w:val="single"/>
              </w:rPr>
              <w:t>.</w:t>
            </w:r>
            <w:r>
              <w:rPr>
                <w:bCs/>
                <w:color w:val="000000"/>
                <w:u w:val="single"/>
              </w:rPr>
              <w:t xml:space="preserve"> </w:t>
            </w:r>
            <w:r w:rsidRPr="00E265F8">
              <w:rPr>
                <w:bCs/>
                <w:color w:val="000000"/>
                <w:u w:val="single"/>
              </w:rPr>
              <w:t xml:space="preserve"> </w:t>
            </w:r>
          </w:p>
          <w:p w14:paraId="04D11CE6" w14:textId="77777777" w:rsidR="00A01109" w:rsidRPr="00E265F8" w:rsidRDefault="00A01109" w:rsidP="005E51CD">
            <w:pPr>
              <w:rPr>
                <w:bCs/>
                <w:color w:val="000000"/>
                <w:u w:val="single"/>
              </w:rPr>
            </w:pPr>
          </w:p>
          <w:p w14:paraId="654E4EF0" w14:textId="48BE7DA9" w:rsidR="00A01109" w:rsidRPr="00D56E03" w:rsidRDefault="00A01109" w:rsidP="005E51CD">
            <w:pPr>
              <w:numPr>
                <w:ilvl w:val="0"/>
                <w:numId w:val="21"/>
              </w:numPr>
              <w:spacing w:after="0"/>
              <w:rPr>
                <w:bCs/>
                <w:color w:val="000000"/>
                <w:u w:val="single"/>
              </w:rPr>
            </w:pPr>
            <w:r>
              <w:rPr>
                <w:bCs/>
                <w:color w:val="000000"/>
                <w:u w:val="single"/>
              </w:rPr>
              <w:t xml:space="preserve">dio rashoda za nabavu nefinancijske imovine </w:t>
            </w:r>
            <w:r>
              <w:rPr>
                <w:bCs/>
                <w:color w:val="000000"/>
              </w:rPr>
              <w:t xml:space="preserve"> u iznosu od </w:t>
            </w:r>
            <w:r w:rsidRPr="00072FD5">
              <w:rPr>
                <w:b/>
                <w:bCs/>
                <w:color w:val="000000"/>
              </w:rPr>
              <w:t>1.</w:t>
            </w:r>
            <w:r w:rsidR="00F662B4">
              <w:rPr>
                <w:b/>
                <w:bCs/>
                <w:color w:val="000000"/>
              </w:rPr>
              <w:t>629</w:t>
            </w:r>
            <w:r w:rsidRPr="00072FD5">
              <w:rPr>
                <w:b/>
                <w:bCs/>
                <w:color w:val="000000"/>
              </w:rPr>
              <w:t>.</w:t>
            </w:r>
            <w:r w:rsidR="00F662B4">
              <w:rPr>
                <w:b/>
                <w:bCs/>
                <w:color w:val="000000"/>
              </w:rPr>
              <w:t>233</w:t>
            </w:r>
            <w:r>
              <w:rPr>
                <w:bCs/>
                <w:color w:val="000000"/>
              </w:rPr>
              <w:t xml:space="preserve"> EUR-a. Iz vlastitih prihoda potrebno je podmiriti troškove nabavke opreme neophodne za nesmetano obavljanje djelatnosti ( opremu i strojeve za održavanje čistoće unutarnjih i vanjskih prostora ustanove, aparate i uređaje u kuhinjama hotela </w:t>
            </w:r>
            <w:proofErr w:type="spellStart"/>
            <w:r>
              <w:rPr>
                <w:bCs/>
                <w:color w:val="000000"/>
              </w:rPr>
              <w:t>Termal</w:t>
            </w:r>
            <w:proofErr w:type="spellEnd"/>
            <w:r>
              <w:rPr>
                <w:bCs/>
                <w:color w:val="000000"/>
              </w:rPr>
              <w:t xml:space="preserve"> i restorana Terasa, radne strojeve i potrebne priključke za o</w:t>
            </w:r>
            <w:r w:rsidR="00F662B4">
              <w:rPr>
                <w:bCs/>
                <w:color w:val="000000"/>
              </w:rPr>
              <w:t>državanje parka,</w:t>
            </w:r>
            <w:r w:rsidR="005E51CD">
              <w:rPr>
                <w:bCs/>
                <w:color w:val="000000"/>
              </w:rPr>
              <w:t xml:space="preserve"> server</w:t>
            </w:r>
            <w:r w:rsidR="00F662B4">
              <w:rPr>
                <w:bCs/>
                <w:color w:val="000000"/>
              </w:rPr>
              <w:t xml:space="preserve"> </w:t>
            </w:r>
            <w:r>
              <w:rPr>
                <w:bCs/>
                <w:color w:val="000000"/>
              </w:rPr>
              <w:t xml:space="preserve">), </w:t>
            </w:r>
            <w:r w:rsidRPr="00D56E03">
              <w:rPr>
                <w:bCs/>
                <w:color w:val="000000"/>
              </w:rPr>
              <w:t>izdvojiti za dodatna ulaganja na građevinskim objektima za investicije koje će dijelom biti sufinancirane iz drugih izvora a za koje će biti potrebno još izdvojiti vlastita sreds</w:t>
            </w:r>
            <w:r w:rsidR="005A1C0F">
              <w:rPr>
                <w:bCs/>
                <w:color w:val="000000"/>
              </w:rPr>
              <w:t xml:space="preserve">tva. Planom za 2025. godinu previđena je rekonstrukcija HACCP sustava u kuhinjama </w:t>
            </w:r>
            <w:proofErr w:type="spellStart"/>
            <w:r w:rsidR="005A1C0F">
              <w:rPr>
                <w:bCs/>
                <w:color w:val="000000"/>
              </w:rPr>
              <w:t>Termal</w:t>
            </w:r>
            <w:proofErr w:type="spellEnd"/>
            <w:r w:rsidR="005A1C0F">
              <w:rPr>
                <w:bCs/>
                <w:color w:val="000000"/>
              </w:rPr>
              <w:t xml:space="preserve"> i restoran Terasa, sanacija kanalizacijske odvodnje u praonici rublja.</w:t>
            </w:r>
            <w:r>
              <w:rPr>
                <w:bCs/>
                <w:color w:val="000000"/>
              </w:rPr>
              <w:t xml:space="preserve"> </w:t>
            </w:r>
          </w:p>
          <w:p w14:paraId="08372D8D" w14:textId="77777777" w:rsidR="00A01109" w:rsidRPr="00983CA7" w:rsidRDefault="00A01109" w:rsidP="005E51CD">
            <w:pPr>
              <w:rPr>
                <w:bCs/>
                <w:color w:val="000000"/>
                <w:u w:val="single"/>
              </w:rPr>
            </w:pPr>
          </w:p>
          <w:p w14:paraId="47DB1DF7" w14:textId="77777777" w:rsidR="00A01109" w:rsidRDefault="00A01109" w:rsidP="005E51CD">
            <w:pPr>
              <w:jc w:val="both"/>
              <w:rPr>
                <w:bCs/>
                <w:color w:val="000000"/>
              </w:rPr>
            </w:pPr>
            <w:r w:rsidRPr="00B2520A">
              <w:rPr>
                <w:bCs/>
                <w:i/>
                <w:color w:val="000000"/>
                <w:u w:val="single"/>
              </w:rPr>
              <w:t>Pomoći</w:t>
            </w:r>
            <w:r>
              <w:rPr>
                <w:bCs/>
                <w:color w:val="000000"/>
              </w:rPr>
              <w:t xml:space="preserve"> su namijenjene za pokriće troškova investicija za koje će ustanova  aplicirati.</w:t>
            </w:r>
          </w:p>
          <w:p w14:paraId="3C1958DC" w14:textId="77777777" w:rsidR="00A01109" w:rsidRDefault="00A01109" w:rsidP="005E51CD">
            <w:pPr>
              <w:jc w:val="both"/>
              <w:rPr>
                <w:bCs/>
                <w:color w:val="000000"/>
              </w:rPr>
            </w:pPr>
          </w:p>
          <w:p w14:paraId="4EE7921D" w14:textId="77777777" w:rsidR="005A1C0F" w:rsidRDefault="00A01109" w:rsidP="005E51CD">
            <w:pPr>
              <w:jc w:val="both"/>
              <w:rPr>
                <w:bCs/>
                <w:color w:val="000000"/>
              </w:rPr>
            </w:pPr>
            <w:r w:rsidRPr="00B2520A">
              <w:rPr>
                <w:bCs/>
                <w:i/>
                <w:color w:val="000000"/>
                <w:u w:val="single"/>
              </w:rPr>
              <w:t xml:space="preserve">Prihodima od prodaje nefinancijske imovine i nadoknade šteta s osnova osiguranja   </w:t>
            </w:r>
            <w:r>
              <w:rPr>
                <w:bCs/>
                <w:color w:val="000000"/>
              </w:rPr>
              <w:t xml:space="preserve"> podmirit će se dio troškova nabavke potrebne opreme i aparata.</w:t>
            </w:r>
          </w:p>
          <w:p w14:paraId="55370DFF" w14:textId="0E50CBBE" w:rsidR="005A1C0F" w:rsidRPr="005A1C0F" w:rsidRDefault="005A1C0F" w:rsidP="005E51CD">
            <w:pPr>
              <w:jc w:val="both"/>
              <w:rPr>
                <w:bCs/>
                <w:color w:val="000000"/>
                <w:u w:val="single"/>
              </w:rPr>
            </w:pPr>
            <w:r w:rsidRPr="005A1C0F">
              <w:rPr>
                <w:bCs/>
                <w:color w:val="000000"/>
                <w:u w:val="single"/>
              </w:rPr>
              <w:t>Namjenski primici od zaduživanja</w:t>
            </w:r>
            <w:r>
              <w:rPr>
                <w:bCs/>
                <w:color w:val="000000"/>
                <w:u w:val="single"/>
              </w:rPr>
              <w:t xml:space="preserve"> </w:t>
            </w:r>
            <w:r>
              <w:rPr>
                <w:bCs/>
                <w:color w:val="000000"/>
              </w:rPr>
              <w:t xml:space="preserve">namijenjeni su za financiranje investicije sufinancirane dijelom iz sredstava EU.  </w:t>
            </w:r>
          </w:p>
          <w:p w14:paraId="3372B861" w14:textId="24DD3495" w:rsidR="00A01109" w:rsidRPr="00B52670" w:rsidRDefault="00A01109" w:rsidP="005E51CD">
            <w:pPr>
              <w:jc w:val="both"/>
              <w:rPr>
                <w:bCs/>
                <w:color w:val="000000"/>
              </w:rPr>
            </w:pPr>
            <w:r>
              <w:rPr>
                <w:bCs/>
                <w:color w:val="000000"/>
              </w:rPr>
              <w:t xml:space="preserve">       </w:t>
            </w:r>
          </w:p>
        </w:tc>
      </w:tr>
    </w:tbl>
    <w:p w14:paraId="4BA7B13F" w14:textId="77777777" w:rsidR="00A01109" w:rsidRDefault="00A01109" w:rsidP="00A84AD6">
      <w:pPr>
        <w:rPr>
          <w:rFonts w:ascii="Calibri" w:hAnsi="Calibri" w:cs="Calibri"/>
        </w:rPr>
      </w:pPr>
    </w:p>
    <w:p w14:paraId="1292D709" w14:textId="77777777" w:rsidR="005E51CD" w:rsidRDefault="005E51CD" w:rsidP="00A84AD6">
      <w:pPr>
        <w:rPr>
          <w:rFonts w:ascii="Calibri" w:hAnsi="Calibri" w:cs="Calibri"/>
        </w:rPr>
      </w:pPr>
    </w:p>
    <w:p w14:paraId="26503AEE" w14:textId="77777777" w:rsidR="005E51CD" w:rsidRDefault="005E51CD" w:rsidP="00A84AD6">
      <w:pPr>
        <w:rPr>
          <w:rFonts w:ascii="Calibri" w:hAnsi="Calibri" w:cs="Calibri"/>
        </w:rPr>
      </w:pPr>
    </w:p>
    <w:p w14:paraId="6EF17AF3" w14:textId="77777777" w:rsidR="005E51CD" w:rsidRDefault="005E51CD" w:rsidP="00A84AD6">
      <w:pPr>
        <w:rPr>
          <w:rFonts w:ascii="Calibri" w:hAnsi="Calibri" w:cs="Calibri"/>
        </w:rPr>
      </w:pPr>
    </w:p>
    <w:p w14:paraId="07FCD8F8" w14:textId="77777777" w:rsidR="005E51CD" w:rsidRDefault="005E51CD" w:rsidP="00A84AD6">
      <w:pPr>
        <w:rPr>
          <w:rFonts w:ascii="Calibri" w:hAnsi="Calibri" w:cs="Calibri"/>
        </w:rPr>
      </w:pPr>
    </w:p>
    <w:p w14:paraId="0A1C56C6" w14:textId="77777777" w:rsidR="005E51CD" w:rsidRDefault="005E51CD" w:rsidP="00A84AD6">
      <w:pPr>
        <w:rPr>
          <w:rFonts w:ascii="Calibri" w:hAnsi="Calibri" w:cs="Calibri"/>
        </w:rPr>
      </w:pPr>
    </w:p>
    <w:p w14:paraId="4106A8D9" w14:textId="77777777" w:rsidR="005E51CD" w:rsidRDefault="005E51CD" w:rsidP="00A84AD6">
      <w:pPr>
        <w:rPr>
          <w:rFonts w:ascii="Calibri" w:hAnsi="Calibri" w:cs="Calibri"/>
        </w:rPr>
      </w:pPr>
    </w:p>
    <w:p w14:paraId="37886E51" w14:textId="77777777" w:rsidR="005E51CD" w:rsidRDefault="005E51CD" w:rsidP="00A84AD6">
      <w:pPr>
        <w:rPr>
          <w:rFonts w:ascii="Calibri" w:hAnsi="Calibri" w:cs="Calibri"/>
        </w:rPr>
      </w:pPr>
    </w:p>
    <w:sectPr w:rsidR="005E51CD" w:rsidSect="001F3473">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1015E" w14:textId="77777777" w:rsidR="00721371" w:rsidRDefault="00721371" w:rsidP="008E075B">
      <w:pPr>
        <w:spacing w:after="0"/>
      </w:pPr>
      <w:r>
        <w:separator/>
      </w:r>
    </w:p>
  </w:endnote>
  <w:endnote w:type="continuationSeparator" w:id="0">
    <w:p w14:paraId="6FD2BF36" w14:textId="77777777" w:rsidR="00721371" w:rsidRDefault="00721371" w:rsidP="008E07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71EB7" w14:textId="77777777" w:rsidR="00721371" w:rsidRDefault="00721371" w:rsidP="008E075B">
      <w:pPr>
        <w:spacing w:after="0"/>
      </w:pPr>
      <w:r>
        <w:separator/>
      </w:r>
    </w:p>
  </w:footnote>
  <w:footnote w:type="continuationSeparator" w:id="0">
    <w:p w14:paraId="3E0843E5" w14:textId="77777777" w:rsidR="00721371" w:rsidRDefault="00721371" w:rsidP="008E07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D25B5" w14:textId="3F327EE9" w:rsidR="008E075B" w:rsidRDefault="008E075B" w:rsidP="008E075B">
    <w:pPr>
      <w:pStyle w:val="Zaglavlje"/>
      <w:jc w:val="center"/>
    </w:pPr>
    <w:r>
      <w:rPr>
        <w:noProof/>
        <w:lang w:eastAsia="hr-HR"/>
      </w:rPr>
      <w:drawing>
        <wp:anchor distT="0" distB="0" distL="114300" distR="114300" simplePos="0" relativeHeight="251658240" behindDoc="1" locked="0" layoutInCell="1" allowOverlap="1" wp14:anchorId="3153982F" wp14:editId="0B1F735A">
          <wp:simplePos x="0" y="0"/>
          <wp:positionH relativeFrom="page">
            <wp:align>left</wp:align>
          </wp:positionH>
          <wp:positionV relativeFrom="paragraph">
            <wp:posOffset>-440055</wp:posOffset>
          </wp:positionV>
          <wp:extent cx="7534275" cy="10656117"/>
          <wp:effectExtent l="0" t="0" r="0" b="0"/>
          <wp:wrapNone/>
          <wp:docPr id="456196667"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96667" name="Picture 1" descr="A white paper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407" cy="106647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4A10" w14:textId="7D98CA04" w:rsidR="001F3473" w:rsidRDefault="001F3473">
    <w:pPr>
      <w:pStyle w:val="Zaglavlje"/>
    </w:pPr>
    <w:r>
      <w:rPr>
        <w:noProof/>
        <w:lang w:eastAsia="hr-HR"/>
      </w:rPr>
      <w:drawing>
        <wp:anchor distT="0" distB="0" distL="114300" distR="114300" simplePos="0" relativeHeight="251660288" behindDoc="1" locked="0" layoutInCell="1" allowOverlap="1" wp14:anchorId="698AF7D5" wp14:editId="517D52F9">
          <wp:simplePos x="0" y="0"/>
          <wp:positionH relativeFrom="page">
            <wp:posOffset>8255</wp:posOffset>
          </wp:positionH>
          <wp:positionV relativeFrom="paragraph">
            <wp:posOffset>-438785</wp:posOffset>
          </wp:positionV>
          <wp:extent cx="7533400" cy="10656117"/>
          <wp:effectExtent l="0" t="0" r="0" b="0"/>
          <wp:wrapNone/>
          <wp:docPr id="897745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4568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400" cy="106561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4A3A20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D962BC3"/>
    <w:multiLevelType w:val="hybridMultilevel"/>
    <w:tmpl w:val="8A4A9CD4"/>
    <w:lvl w:ilvl="0" w:tplc="419C793C">
      <w:start w:val="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5B"/>
    <w:rsid w:val="0002547D"/>
    <w:rsid w:val="000A27FB"/>
    <w:rsid w:val="000D77E4"/>
    <w:rsid w:val="000E0AAE"/>
    <w:rsid w:val="00133D1B"/>
    <w:rsid w:val="001B4089"/>
    <w:rsid w:val="001F3473"/>
    <w:rsid w:val="001F4277"/>
    <w:rsid w:val="00201142"/>
    <w:rsid w:val="002119EE"/>
    <w:rsid w:val="00263C61"/>
    <w:rsid w:val="002E64D2"/>
    <w:rsid w:val="002F61E3"/>
    <w:rsid w:val="003014BF"/>
    <w:rsid w:val="00324ED2"/>
    <w:rsid w:val="003374BD"/>
    <w:rsid w:val="004A56E5"/>
    <w:rsid w:val="004B2395"/>
    <w:rsid w:val="004E00CD"/>
    <w:rsid w:val="00520196"/>
    <w:rsid w:val="0052565F"/>
    <w:rsid w:val="005445C9"/>
    <w:rsid w:val="00557BCC"/>
    <w:rsid w:val="00570A4D"/>
    <w:rsid w:val="005847B4"/>
    <w:rsid w:val="005A1C0F"/>
    <w:rsid w:val="005E51CD"/>
    <w:rsid w:val="00661006"/>
    <w:rsid w:val="00721371"/>
    <w:rsid w:val="007F3DAD"/>
    <w:rsid w:val="008E075B"/>
    <w:rsid w:val="008E712B"/>
    <w:rsid w:val="00930D1C"/>
    <w:rsid w:val="00932910"/>
    <w:rsid w:val="009B01C6"/>
    <w:rsid w:val="009E01D4"/>
    <w:rsid w:val="009E6FC5"/>
    <w:rsid w:val="00A01109"/>
    <w:rsid w:val="00A84AD6"/>
    <w:rsid w:val="00AB1683"/>
    <w:rsid w:val="00C25AEA"/>
    <w:rsid w:val="00C52A6C"/>
    <w:rsid w:val="00CE3D83"/>
    <w:rsid w:val="00DD47FD"/>
    <w:rsid w:val="00E372BA"/>
    <w:rsid w:val="00E85EC1"/>
    <w:rsid w:val="00EA6C9D"/>
    <w:rsid w:val="00F662B4"/>
    <w:rsid w:val="00F70EB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5A8A8D"/>
  <w15:chartTrackingRefBased/>
  <w15:docId w15:val="{EE372B97-4260-4188-800F-9ECA27D5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hr-H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AD6"/>
  </w:style>
  <w:style w:type="paragraph" w:styleId="Naslov1">
    <w:name w:val="heading 1"/>
    <w:basedOn w:val="Normal"/>
    <w:next w:val="Normal"/>
    <w:link w:val="Naslov1Char"/>
    <w:uiPriority w:val="9"/>
    <w:qFormat/>
    <w:rsid w:val="00A84AD6"/>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Naslov2">
    <w:name w:val="heading 2"/>
    <w:basedOn w:val="Normal"/>
    <w:next w:val="Normal"/>
    <w:link w:val="Naslov2Char"/>
    <w:uiPriority w:val="9"/>
    <w:semiHidden/>
    <w:unhideWhenUsed/>
    <w:qFormat/>
    <w:rsid w:val="00A84AD6"/>
    <w:pPr>
      <w:keepNext/>
      <w:keepLines/>
      <w:spacing w:before="160" w:after="0"/>
      <w:outlineLvl w:val="1"/>
    </w:pPr>
    <w:rPr>
      <w:rFonts w:asciiTheme="majorHAnsi" w:eastAsiaTheme="majorEastAsia" w:hAnsiTheme="majorHAnsi" w:cstheme="majorBidi"/>
      <w:color w:val="2F5496" w:themeColor="accent1" w:themeShade="BF"/>
      <w:sz w:val="28"/>
      <w:szCs w:val="28"/>
    </w:rPr>
  </w:style>
  <w:style w:type="paragraph" w:styleId="Naslov3">
    <w:name w:val="heading 3"/>
    <w:basedOn w:val="Normal"/>
    <w:next w:val="Normal"/>
    <w:link w:val="Naslov3Char"/>
    <w:uiPriority w:val="9"/>
    <w:semiHidden/>
    <w:unhideWhenUsed/>
    <w:qFormat/>
    <w:rsid w:val="00A84AD6"/>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ormal"/>
    <w:next w:val="Normal"/>
    <w:link w:val="Naslov4Char"/>
    <w:uiPriority w:val="9"/>
    <w:semiHidden/>
    <w:unhideWhenUsed/>
    <w:qFormat/>
    <w:rsid w:val="00A84AD6"/>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ormal"/>
    <w:next w:val="Normal"/>
    <w:link w:val="Naslov5Char"/>
    <w:uiPriority w:val="9"/>
    <w:semiHidden/>
    <w:unhideWhenUsed/>
    <w:qFormat/>
    <w:rsid w:val="00A84AD6"/>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ormal"/>
    <w:next w:val="Normal"/>
    <w:link w:val="Naslov6Char"/>
    <w:uiPriority w:val="9"/>
    <w:semiHidden/>
    <w:unhideWhenUsed/>
    <w:qFormat/>
    <w:rsid w:val="00A84AD6"/>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ormal"/>
    <w:next w:val="Normal"/>
    <w:link w:val="Naslov7Char"/>
    <w:uiPriority w:val="9"/>
    <w:semiHidden/>
    <w:unhideWhenUsed/>
    <w:qFormat/>
    <w:rsid w:val="00A84AD6"/>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ormal"/>
    <w:next w:val="Normal"/>
    <w:link w:val="Naslov8Char"/>
    <w:uiPriority w:val="9"/>
    <w:semiHidden/>
    <w:unhideWhenUsed/>
    <w:qFormat/>
    <w:rsid w:val="00A84AD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ormal"/>
    <w:next w:val="Normal"/>
    <w:link w:val="Naslov9Char"/>
    <w:uiPriority w:val="9"/>
    <w:semiHidden/>
    <w:unhideWhenUsed/>
    <w:qFormat/>
    <w:rsid w:val="00A84AD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84AD6"/>
    <w:rPr>
      <w:rFonts w:asciiTheme="majorHAnsi" w:eastAsiaTheme="majorEastAsia" w:hAnsiTheme="majorHAnsi" w:cstheme="majorBidi"/>
      <w:color w:val="2F5496" w:themeColor="accent1" w:themeShade="BF"/>
      <w:sz w:val="36"/>
      <w:szCs w:val="36"/>
    </w:rPr>
  </w:style>
  <w:style w:type="character" w:customStyle="1" w:styleId="Naslov2Char">
    <w:name w:val="Naslov 2 Char"/>
    <w:basedOn w:val="Zadanifontodlomka"/>
    <w:link w:val="Naslov2"/>
    <w:uiPriority w:val="9"/>
    <w:semiHidden/>
    <w:rsid w:val="00A84AD6"/>
    <w:rPr>
      <w:rFonts w:asciiTheme="majorHAnsi" w:eastAsiaTheme="majorEastAsia" w:hAnsiTheme="majorHAnsi" w:cstheme="majorBidi"/>
      <w:color w:val="2F5496" w:themeColor="accent1" w:themeShade="BF"/>
      <w:sz w:val="28"/>
      <w:szCs w:val="28"/>
    </w:rPr>
  </w:style>
  <w:style w:type="character" w:customStyle="1" w:styleId="Naslov3Char">
    <w:name w:val="Naslov 3 Char"/>
    <w:basedOn w:val="Zadanifontodlomka"/>
    <w:link w:val="Naslov3"/>
    <w:uiPriority w:val="9"/>
    <w:semiHidden/>
    <w:rsid w:val="00A84AD6"/>
    <w:rPr>
      <w:rFonts w:asciiTheme="majorHAnsi" w:eastAsiaTheme="majorEastAsia" w:hAnsiTheme="majorHAnsi" w:cstheme="majorBidi"/>
      <w:color w:val="404040" w:themeColor="text1" w:themeTint="BF"/>
      <w:sz w:val="26"/>
      <w:szCs w:val="26"/>
    </w:rPr>
  </w:style>
  <w:style w:type="character" w:customStyle="1" w:styleId="Naslov4Char">
    <w:name w:val="Naslov 4 Char"/>
    <w:basedOn w:val="Zadanifontodlomka"/>
    <w:link w:val="Naslov4"/>
    <w:uiPriority w:val="9"/>
    <w:semiHidden/>
    <w:rsid w:val="00A84AD6"/>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semiHidden/>
    <w:rsid w:val="00A84AD6"/>
    <w:rPr>
      <w:rFonts w:asciiTheme="majorHAnsi" w:eastAsiaTheme="majorEastAsia" w:hAnsiTheme="majorHAnsi" w:cstheme="majorBidi"/>
      <w:i/>
      <w:iCs/>
      <w:sz w:val="22"/>
      <w:szCs w:val="22"/>
    </w:rPr>
  </w:style>
  <w:style w:type="character" w:customStyle="1" w:styleId="Naslov6Char">
    <w:name w:val="Naslov 6 Char"/>
    <w:basedOn w:val="Zadanifontodlomka"/>
    <w:link w:val="Naslov6"/>
    <w:uiPriority w:val="9"/>
    <w:semiHidden/>
    <w:rsid w:val="00A84AD6"/>
    <w:rPr>
      <w:rFonts w:asciiTheme="majorHAnsi" w:eastAsiaTheme="majorEastAsia" w:hAnsiTheme="majorHAnsi" w:cstheme="majorBidi"/>
      <w:color w:val="595959" w:themeColor="text1" w:themeTint="A6"/>
    </w:rPr>
  </w:style>
  <w:style w:type="character" w:customStyle="1" w:styleId="Naslov7Char">
    <w:name w:val="Naslov 7 Char"/>
    <w:basedOn w:val="Zadanifontodlomka"/>
    <w:link w:val="Naslov7"/>
    <w:uiPriority w:val="9"/>
    <w:semiHidden/>
    <w:rsid w:val="00A84AD6"/>
    <w:rPr>
      <w:rFonts w:asciiTheme="majorHAnsi" w:eastAsiaTheme="majorEastAsia" w:hAnsiTheme="majorHAnsi" w:cstheme="majorBidi"/>
      <w:i/>
      <w:iCs/>
      <w:color w:val="595959" w:themeColor="text1" w:themeTint="A6"/>
    </w:rPr>
  </w:style>
  <w:style w:type="character" w:customStyle="1" w:styleId="Naslov8Char">
    <w:name w:val="Naslov 8 Char"/>
    <w:basedOn w:val="Zadanifontodlomka"/>
    <w:link w:val="Naslov8"/>
    <w:uiPriority w:val="9"/>
    <w:semiHidden/>
    <w:rsid w:val="00A84AD6"/>
    <w:rPr>
      <w:rFonts w:asciiTheme="majorHAnsi" w:eastAsiaTheme="majorEastAsia" w:hAnsiTheme="majorHAnsi" w:cstheme="majorBidi"/>
      <w:smallCaps/>
      <w:color w:val="595959" w:themeColor="text1" w:themeTint="A6"/>
    </w:rPr>
  </w:style>
  <w:style w:type="character" w:customStyle="1" w:styleId="Naslov9Char">
    <w:name w:val="Naslov 9 Char"/>
    <w:basedOn w:val="Zadanifontodlomka"/>
    <w:link w:val="Naslov9"/>
    <w:uiPriority w:val="9"/>
    <w:semiHidden/>
    <w:rsid w:val="00A84AD6"/>
    <w:rPr>
      <w:rFonts w:asciiTheme="majorHAnsi" w:eastAsiaTheme="majorEastAsia" w:hAnsiTheme="majorHAnsi" w:cstheme="majorBidi"/>
      <w:i/>
      <w:iCs/>
      <w:smallCaps/>
      <w:color w:val="595959" w:themeColor="text1" w:themeTint="A6"/>
    </w:rPr>
  </w:style>
  <w:style w:type="paragraph" w:styleId="Naslov">
    <w:name w:val="Title"/>
    <w:basedOn w:val="Normal"/>
    <w:next w:val="Normal"/>
    <w:link w:val="NaslovChar"/>
    <w:uiPriority w:val="10"/>
    <w:qFormat/>
    <w:rsid w:val="00A84AD6"/>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NaslovChar">
    <w:name w:val="Naslov Char"/>
    <w:basedOn w:val="Zadanifontodlomka"/>
    <w:link w:val="Naslov"/>
    <w:uiPriority w:val="10"/>
    <w:rsid w:val="00A84AD6"/>
    <w:rPr>
      <w:rFonts w:asciiTheme="majorHAnsi" w:eastAsiaTheme="majorEastAsia" w:hAnsiTheme="majorHAnsi" w:cstheme="majorBidi"/>
      <w:color w:val="2F5496" w:themeColor="accent1" w:themeShade="BF"/>
      <w:spacing w:val="-7"/>
      <w:sz w:val="80"/>
      <w:szCs w:val="80"/>
    </w:rPr>
  </w:style>
  <w:style w:type="paragraph" w:styleId="Podnaslov">
    <w:name w:val="Subtitle"/>
    <w:basedOn w:val="Normal"/>
    <w:next w:val="Normal"/>
    <w:link w:val="PodnaslovChar"/>
    <w:uiPriority w:val="11"/>
    <w:qFormat/>
    <w:rsid w:val="00A84AD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PodnaslovChar">
    <w:name w:val="Podnaslov Char"/>
    <w:basedOn w:val="Zadanifontodlomka"/>
    <w:link w:val="Podnaslov"/>
    <w:uiPriority w:val="11"/>
    <w:rsid w:val="00A84AD6"/>
    <w:rPr>
      <w:rFonts w:asciiTheme="majorHAnsi" w:eastAsiaTheme="majorEastAsia" w:hAnsiTheme="majorHAnsi" w:cstheme="majorBidi"/>
      <w:color w:val="404040" w:themeColor="text1" w:themeTint="BF"/>
      <w:sz w:val="30"/>
      <w:szCs w:val="30"/>
    </w:rPr>
  </w:style>
  <w:style w:type="paragraph" w:styleId="Citat">
    <w:name w:val="Quote"/>
    <w:basedOn w:val="Normal"/>
    <w:next w:val="Normal"/>
    <w:link w:val="CitatChar"/>
    <w:uiPriority w:val="29"/>
    <w:qFormat/>
    <w:rsid w:val="00A84AD6"/>
    <w:pPr>
      <w:spacing w:before="240" w:after="240" w:line="252" w:lineRule="auto"/>
      <w:ind w:left="864" w:right="864"/>
      <w:jc w:val="center"/>
    </w:pPr>
    <w:rPr>
      <w:i/>
      <w:iCs/>
    </w:rPr>
  </w:style>
  <w:style w:type="character" w:customStyle="1" w:styleId="CitatChar">
    <w:name w:val="Citat Char"/>
    <w:basedOn w:val="Zadanifontodlomka"/>
    <w:link w:val="Citat"/>
    <w:uiPriority w:val="29"/>
    <w:rsid w:val="00A84AD6"/>
    <w:rPr>
      <w:i/>
      <w:iCs/>
    </w:rPr>
  </w:style>
  <w:style w:type="paragraph" w:styleId="Odlomakpopisa">
    <w:name w:val="List Paragraph"/>
    <w:basedOn w:val="Normal"/>
    <w:uiPriority w:val="34"/>
    <w:qFormat/>
    <w:rsid w:val="008E075B"/>
    <w:pPr>
      <w:ind w:left="720"/>
      <w:contextualSpacing/>
    </w:pPr>
  </w:style>
  <w:style w:type="character" w:styleId="Jakoisticanje">
    <w:name w:val="Intense Emphasis"/>
    <w:basedOn w:val="Zadanifontodlomka"/>
    <w:uiPriority w:val="21"/>
    <w:qFormat/>
    <w:rsid w:val="00A84AD6"/>
    <w:rPr>
      <w:b/>
      <w:bCs/>
      <w:i/>
      <w:iCs/>
    </w:rPr>
  </w:style>
  <w:style w:type="paragraph" w:styleId="Naglaencitat">
    <w:name w:val="Intense Quote"/>
    <w:basedOn w:val="Normal"/>
    <w:next w:val="Normal"/>
    <w:link w:val="NaglaencitatChar"/>
    <w:uiPriority w:val="30"/>
    <w:qFormat/>
    <w:rsid w:val="00A84AD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NaglaencitatChar">
    <w:name w:val="Naglašen citat Char"/>
    <w:basedOn w:val="Zadanifontodlomka"/>
    <w:link w:val="Naglaencitat"/>
    <w:uiPriority w:val="30"/>
    <w:rsid w:val="00A84AD6"/>
    <w:rPr>
      <w:rFonts w:asciiTheme="majorHAnsi" w:eastAsiaTheme="majorEastAsia" w:hAnsiTheme="majorHAnsi" w:cstheme="majorBidi"/>
      <w:color w:val="4472C4" w:themeColor="accent1"/>
      <w:sz w:val="28"/>
      <w:szCs w:val="28"/>
    </w:rPr>
  </w:style>
  <w:style w:type="character" w:styleId="Istaknutareferenca">
    <w:name w:val="Intense Reference"/>
    <w:basedOn w:val="Zadanifontodlomka"/>
    <w:uiPriority w:val="32"/>
    <w:qFormat/>
    <w:rsid w:val="00A84AD6"/>
    <w:rPr>
      <w:b/>
      <w:bCs/>
      <w:smallCaps/>
      <w:u w:val="single"/>
    </w:rPr>
  </w:style>
  <w:style w:type="paragraph" w:styleId="Zaglavlje">
    <w:name w:val="header"/>
    <w:basedOn w:val="Normal"/>
    <w:link w:val="ZaglavljeChar"/>
    <w:uiPriority w:val="99"/>
    <w:unhideWhenUsed/>
    <w:rsid w:val="008E075B"/>
    <w:pPr>
      <w:tabs>
        <w:tab w:val="center" w:pos="4536"/>
        <w:tab w:val="right" w:pos="9072"/>
      </w:tabs>
      <w:spacing w:after="0"/>
    </w:pPr>
  </w:style>
  <w:style w:type="character" w:customStyle="1" w:styleId="ZaglavljeChar">
    <w:name w:val="Zaglavlje Char"/>
    <w:basedOn w:val="Zadanifontodlomka"/>
    <w:link w:val="Zaglavlje"/>
    <w:uiPriority w:val="99"/>
    <w:rsid w:val="008E075B"/>
  </w:style>
  <w:style w:type="paragraph" w:styleId="Podnoje">
    <w:name w:val="footer"/>
    <w:basedOn w:val="Normal"/>
    <w:link w:val="PodnojeChar"/>
    <w:uiPriority w:val="99"/>
    <w:unhideWhenUsed/>
    <w:rsid w:val="008E075B"/>
    <w:pPr>
      <w:tabs>
        <w:tab w:val="center" w:pos="4536"/>
        <w:tab w:val="right" w:pos="9072"/>
      </w:tabs>
      <w:spacing w:after="0"/>
    </w:pPr>
  </w:style>
  <w:style w:type="character" w:customStyle="1" w:styleId="PodnojeChar">
    <w:name w:val="Podnožje Char"/>
    <w:basedOn w:val="Zadanifontodlomka"/>
    <w:link w:val="Podnoje"/>
    <w:uiPriority w:val="99"/>
    <w:rsid w:val="008E075B"/>
  </w:style>
  <w:style w:type="paragraph" w:styleId="Tijeloteksta-uvlaka2">
    <w:name w:val="Body Text Indent 2"/>
    <w:basedOn w:val="Normal"/>
    <w:link w:val="Tijeloteksta-uvlaka2Char"/>
    <w:rsid w:val="00A84AD6"/>
    <w:pPr>
      <w:suppressAutoHyphens/>
      <w:spacing w:after="120" w:line="480" w:lineRule="auto"/>
      <w:ind w:left="283"/>
    </w:pPr>
    <w:rPr>
      <w:rFonts w:ascii="Times New Roman" w:eastAsia="Calibri" w:hAnsi="Times New Roman" w:cs="Times New Roman"/>
      <w:sz w:val="24"/>
      <w:szCs w:val="24"/>
      <w:lang w:val="en-US" w:eastAsia="ar-SA"/>
    </w:rPr>
  </w:style>
  <w:style w:type="character" w:customStyle="1" w:styleId="Tijeloteksta-uvlaka2Char">
    <w:name w:val="Tijelo teksta - uvlaka 2 Char"/>
    <w:basedOn w:val="Zadanifontodlomka"/>
    <w:link w:val="Tijeloteksta-uvlaka2"/>
    <w:rsid w:val="00A84AD6"/>
    <w:rPr>
      <w:rFonts w:ascii="Times New Roman" w:eastAsia="Calibri" w:hAnsi="Times New Roman" w:cs="Times New Roman"/>
      <w:kern w:val="0"/>
      <w:sz w:val="24"/>
      <w:szCs w:val="24"/>
      <w:lang w:val="en-US" w:eastAsia="ar-SA"/>
      <w14:ligatures w14:val="none"/>
    </w:rPr>
  </w:style>
  <w:style w:type="paragraph" w:styleId="Opisslike">
    <w:name w:val="caption"/>
    <w:basedOn w:val="Normal"/>
    <w:next w:val="Normal"/>
    <w:uiPriority w:val="35"/>
    <w:semiHidden/>
    <w:unhideWhenUsed/>
    <w:qFormat/>
    <w:rsid w:val="00A84AD6"/>
    <w:rPr>
      <w:b/>
      <w:bCs/>
      <w:color w:val="404040" w:themeColor="text1" w:themeTint="BF"/>
      <w:sz w:val="20"/>
      <w:szCs w:val="20"/>
    </w:rPr>
  </w:style>
  <w:style w:type="character" w:styleId="Naglaeno">
    <w:name w:val="Strong"/>
    <w:basedOn w:val="Zadanifontodlomka"/>
    <w:uiPriority w:val="22"/>
    <w:qFormat/>
    <w:rsid w:val="00A84AD6"/>
    <w:rPr>
      <w:b/>
      <w:bCs/>
    </w:rPr>
  </w:style>
  <w:style w:type="character" w:styleId="Istaknuto">
    <w:name w:val="Emphasis"/>
    <w:basedOn w:val="Zadanifontodlomka"/>
    <w:uiPriority w:val="20"/>
    <w:qFormat/>
    <w:rsid w:val="00A84AD6"/>
    <w:rPr>
      <w:i/>
      <w:iCs/>
    </w:rPr>
  </w:style>
  <w:style w:type="paragraph" w:styleId="Bezproreda">
    <w:name w:val="No Spacing"/>
    <w:uiPriority w:val="1"/>
    <w:qFormat/>
    <w:rsid w:val="00A84AD6"/>
    <w:pPr>
      <w:spacing w:after="0"/>
    </w:pPr>
  </w:style>
  <w:style w:type="character" w:styleId="Neupadljivoisticanje">
    <w:name w:val="Subtle Emphasis"/>
    <w:basedOn w:val="Zadanifontodlomka"/>
    <w:uiPriority w:val="19"/>
    <w:qFormat/>
    <w:rsid w:val="00A84AD6"/>
    <w:rPr>
      <w:i/>
      <w:iCs/>
      <w:color w:val="595959" w:themeColor="text1" w:themeTint="A6"/>
    </w:rPr>
  </w:style>
  <w:style w:type="character" w:styleId="Neupadljivareferenca">
    <w:name w:val="Subtle Reference"/>
    <w:basedOn w:val="Zadanifontodlomka"/>
    <w:uiPriority w:val="31"/>
    <w:qFormat/>
    <w:rsid w:val="00A84AD6"/>
    <w:rPr>
      <w:smallCaps/>
      <w:color w:val="404040" w:themeColor="text1" w:themeTint="BF"/>
    </w:rPr>
  </w:style>
  <w:style w:type="character" w:styleId="Naslovknjige">
    <w:name w:val="Book Title"/>
    <w:basedOn w:val="Zadanifontodlomka"/>
    <w:uiPriority w:val="33"/>
    <w:qFormat/>
    <w:rsid w:val="00A84AD6"/>
    <w:rPr>
      <w:b/>
      <w:bCs/>
      <w:smallCaps/>
    </w:rPr>
  </w:style>
  <w:style w:type="paragraph" w:styleId="TOCNaslov">
    <w:name w:val="TOC Heading"/>
    <w:basedOn w:val="Naslov1"/>
    <w:next w:val="Normal"/>
    <w:uiPriority w:val="39"/>
    <w:semiHidden/>
    <w:unhideWhenUsed/>
    <w:qFormat/>
    <w:rsid w:val="00A84A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1047</Words>
  <Characters>5970</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Husak</dc:creator>
  <cp:keywords/>
  <dc:description/>
  <cp:lastModifiedBy>Ivana Starčević</cp:lastModifiedBy>
  <cp:revision>12</cp:revision>
  <dcterms:created xsi:type="dcterms:W3CDTF">2024-11-06T07:54:00Z</dcterms:created>
  <dcterms:modified xsi:type="dcterms:W3CDTF">2024-11-07T09:30:00Z</dcterms:modified>
</cp:coreProperties>
</file>