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D9B" w:rsidRDefault="00F80D9B" w:rsidP="00A623F7">
      <w:pPr>
        <w:pStyle w:val="Zaglavlje"/>
        <w:jc w:val="both"/>
        <w:rPr>
          <w:rFonts w:ascii="Times New Roman" w:hAnsi="Times New Roman"/>
          <w:sz w:val="24"/>
          <w:szCs w:val="24"/>
        </w:rPr>
      </w:pPr>
    </w:p>
    <w:p w:rsidR="002C26E1" w:rsidRDefault="002C26E1" w:rsidP="00A623F7">
      <w:pPr>
        <w:pStyle w:val="Zaglavlje"/>
        <w:jc w:val="both"/>
        <w:rPr>
          <w:rFonts w:ascii="Times New Roman" w:hAnsi="Times New Roman"/>
          <w:sz w:val="24"/>
          <w:szCs w:val="24"/>
        </w:rPr>
      </w:pPr>
    </w:p>
    <w:p w:rsidR="00FF4975" w:rsidRDefault="00FF4975" w:rsidP="00B163BD">
      <w:pPr>
        <w:rPr>
          <w:sz w:val="22"/>
        </w:rPr>
      </w:pPr>
    </w:p>
    <w:p w:rsidR="00782FC6" w:rsidRPr="00346292" w:rsidRDefault="00782FC6" w:rsidP="00782FC6">
      <w:pPr>
        <w:ind w:left="720" w:hanging="720"/>
      </w:pPr>
      <w:r w:rsidRPr="00346292">
        <w:tab/>
      </w:r>
      <w:r w:rsidRPr="00346292">
        <w:tab/>
      </w:r>
      <w:r w:rsidRPr="00346292">
        <w:tab/>
      </w:r>
      <w:r w:rsidRPr="00346292">
        <w:tab/>
      </w:r>
      <w:r w:rsidRPr="00346292">
        <w:tab/>
      </w:r>
      <w:r w:rsidRPr="00346292">
        <w:tab/>
      </w:r>
      <w:r w:rsidRPr="00346292">
        <w:tab/>
      </w:r>
    </w:p>
    <w:p w:rsidR="00782FC6" w:rsidRDefault="00782FC6" w:rsidP="00782FC6"/>
    <w:p w:rsidR="00782FC6" w:rsidRDefault="00782FC6" w:rsidP="00782FC6"/>
    <w:p w:rsidR="00782FC6" w:rsidRPr="005952A6" w:rsidRDefault="00782FC6" w:rsidP="00782FC6">
      <w:pPr>
        <w:rPr>
          <w:rFonts w:ascii="Calibri" w:hAnsi="Calibri" w:cs="Calibri"/>
        </w:rPr>
      </w:pPr>
    </w:p>
    <w:p w:rsidR="00782FC6" w:rsidRPr="005952A6" w:rsidRDefault="00782FC6" w:rsidP="00782FC6">
      <w:pPr>
        <w:rPr>
          <w:rFonts w:ascii="Calibri" w:hAnsi="Calibri" w:cs="Calibri"/>
        </w:rPr>
      </w:pPr>
    </w:p>
    <w:p w:rsidR="00782FC6" w:rsidRPr="005952A6" w:rsidRDefault="00782FC6" w:rsidP="00782FC6">
      <w:pPr>
        <w:rPr>
          <w:rFonts w:ascii="Calibri" w:hAnsi="Calibri" w:cs="Calibri"/>
        </w:rPr>
      </w:pPr>
    </w:p>
    <w:p w:rsidR="00782FC6" w:rsidRPr="005952A6" w:rsidRDefault="00782FC6" w:rsidP="00782FC6">
      <w:pPr>
        <w:rPr>
          <w:rFonts w:ascii="Calibri" w:hAnsi="Calibri" w:cs="Calibri"/>
        </w:rPr>
      </w:pPr>
    </w:p>
    <w:p w:rsidR="00782FC6" w:rsidRPr="005952A6" w:rsidRDefault="00782FC6" w:rsidP="00782FC6">
      <w:pPr>
        <w:rPr>
          <w:rFonts w:ascii="Calibri" w:hAnsi="Calibri" w:cs="Calibri"/>
        </w:rPr>
      </w:pPr>
    </w:p>
    <w:p w:rsidR="00782FC6" w:rsidRDefault="00782FC6" w:rsidP="00782FC6">
      <w:pPr>
        <w:rPr>
          <w:rFonts w:ascii="Calibri" w:hAnsi="Calibri" w:cs="Calibri"/>
        </w:rPr>
      </w:pPr>
    </w:p>
    <w:p w:rsidR="00782FC6" w:rsidRDefault="00782FC6" w:rsidP="00782FC6">
      <w:pPr>
        <w:rPr>
          <w:rFonts w:ascii="Calibri" w:hAnsi="Calibri" w:cs="Calibri"/>
        </w:rPr>
      </w:pPr>
    </w:p>
    <w:p w:rsidR="00782FC6" w:rsidRPr="005952A6" w:rsidRDefault="00782FC6" w:rsidP="00782FC6">
      <w:pPr>
        <w:rPr>
          <w:rFonts w:ascii="Calibri" w:hAnsi="Calibri" w:cs="Calibri"/>
        </w:rPr>
      </w:pPr>
    </w:p>
    <w:p w:rsidR="00782FC6" w:rsidRPr="005952A6" w:rsidRDefault="00782FC6" w:rsidP="00782FC6">
      <w:pPr>
        <w:rPr>
          <w:rFonts w:ascii="Calibri" w:hAnsi="Calibri" w:cs="Calibri"/>
        </w:rPr>
      </w:pPr>
    </w:p>
    <w:p w:rsidR="00782FC6" w:rsidRPr="005952A6" w:rsidRDefault="00782FC6" w:rsidP="00782FC6">
      <w:pPr>
        <w:rPr>
          <w:rFonts w:ascii="Calibri" w:hAnsi="Calibri" w:cs="Calibri"/>
        </w:rPr>
      </w:pPr>
    </w:p>
    <w:p w:rsidR="00782FC6" w:rsidRPr="00D17ED7" w:rsidRDefault="00782FC6" w:rsidP="00782FC6">
      <w:pPr>
        <w:jc w:val="center"/>
        <w:rPr>
          <w:rFonts w:ascii="Calibri" w:hAnsi="Calibri" w:cs="Calibri"/>
          <w:b/>
          <w:sz w:val="40"/>
          <w:szCs w:val="40"/>
          <w:lang w:val="pl-PL"/>
        </w:rPr>
      </w:pPr>
      <w:r w:rsidRPr="00D17ED7">
        <w:rPr>
          <w:rFonts w:ascii="Calibri" w:hAnsi="Calibri" w:cs="Calibri"/>
          <w:b/>
          <w:sz w:val="40"/>
          <w:szCs w:val="40"/>
          <w:lang w:val="pl-PL"/>
        </w:rPr>
        <w:t>Obrazloženje prijedloga</w:t>
      </w:r>
      <w:r>
        <w:rPr>
          <w:rFonts w:ascii="Calibri" w:hAnsi="Calibri" w:cs="Calibri"/>
          <w:b/>
          <w:sz w:val="40"/>
          <w:szCs w:val="40"/>
          <w:lang w:val="pl-PL"/>
        </w:rPr>
        <w:t xml:space="preserve"> </w:t>
      </w:r>
      <w:r w:rsidRPr="00D17ED7">
        <w:rPr>
          <w:rFonts w:ascii="Calibri" w:hAnsi="Calibri" w:cs="Calibri"/>
          <w:b/>
          <w:sz w:val="40"/>
          <w:szCs w:val="40"/>
          <w:lang w:val="pl-PL"/>
        </w:rPr>
        <w:t>financijskog</w:t>
      </w:r>
      <w:r w:rsidRPr="00D17ED7">
        <w:rPr>
          <w:rFonts w:ascii="Calibri" w:hAnsi="Calibri" w:cs="Calibri"/>
          <w:b/>
          <w:sz w:val="40"/>
          <w:szCs w:val="40"/>
        </w:rPr>
        <w:t xml:space="preserve"> plana i programa</w:t>
      </w:r>
    </w:p>
    <w:p w:rsidR="00782FC6" w:rsidRPr="00D17ED7" w:rsidRDefault="00782FC6" w:rsidP="00782FC6">
      <w:pPr>
        <w:jc w:val="center"/>
        <w:rPr>
          <w:rFonts w:ascii="Calibri" w:hAnsi="Calibri" w:cs="Calibri"/>
          <w:b/>
          <w:sz w:val="40"/>
          <w:szCs w:val="40"/>
          <w:lang w:val="pl-PL"/>
        </w:rPr>
      </w:pPr>
    </w:p>
    <w:p w:rsidR="00782FC6" w:rsidRPr="00D17ED7" w:rsidRDefault="00782FC6" w:rsidP="00782FC6">
      <w:pPr>
        <w:jc w:val="center"/>
        <w:rPr>
          <w:rFonts w:ascii="Calibri" w:hAnsi="Calibri" w:cs="Calibri"/>
          <w:b/>
          <w:sz w:val="40"/>
          <w:szCs w:val="40"/>
        </w:rPr>
      </w:pPr>
      <w:r w:rsidRPr="00D17ED7">
        <w:rPr>
          <w:rFonts w:ascii="Calibri" w:hAnsi="Calibri" w:cs="Calibri"/>
          <w:b/>
          <w:sz w:val="40"/>
          <w:szCs w:val="40"/>
        </w:rPr>
        <w:t>Specijalne bolnice za medicinsku rehabilit</w:t>
      </w:r>
      <w:r>
        <w:rPr>
          <w:rFonts w:ascii="Calibri" w:hAnsi="Calibri" w:cs="Calibri"/>
          <w:b/>
          <w:sz w:val="40"/>
          <w:szCs w:val="40"/>
        </w:rPr>
        <w:t>aciju Daruvarske toplice za 202</w:t>
      </w:r>
      <w:r w:rsidR="002C26E1">
        <w:rPr>
          <w:rFonts w:ascii="Calibri" w:hAnsi="Calibri" w:cs="Calibri"/>
          <w:b/>
          <w:sz w:val="40"/>
          <w:szCs w:val="40"/>
        </w:rPr>
        <w:t>4</w:t>
      </w:r>
      <w:r w:rsidRPr="00D17ED7">
        <w:rPr>
          <w:rFonts w:ascii="Calibri" w:hAnsi="Calibri" w:cs="Calibri"/>
          <w:b/>
          <w:sz w:val="40"/>
          <w:szCs w:val="40"/>
        </w:rPr>
        <w:t>.g.</w:t>
      </w:r>
    </w:p>
    <w:p w:rsidR="00782FC6" w:rsidRPr="00D17ED7" w:rsidRDefault="00782FC6" w:rsidP="00782FC6">
      <w:pPr>
        <w:jc w:val="center"/>
        <w:rPr>
          <w:rFonts w:ascii="Calibri" w:hAnsi="Calibri" w:cs="Calibri"/>
          <w:b/>
          <w:sz w:val="40"/>
          <w:szCs w:val="40"/>
        </w:rPr>
      </w:pPr>
    </w:p>
    <w:p w:rsidR="00782FC6" w:rsidRPr="00D17ED7" w:rsidRDefault="00782FC6" w:rsidP="00782FC6">
      <w:pPr>
        <w:rPr>
          <w:rFonts w:ascii="Calibri" w:hAnsi="Calibri" w:cs="Calibri"/>
          <w:sz w:val="40"/>
          <w:szCs w:val="40"/>
        </w:rPr>
      </w:pPr>
    </w:p>
    <w:p w:rsidR="00782FC6" w:rsidRPr="00086261" w:rsidRDefault="00782FC6" w:rsidP="00782FC6">
      <w:pPr>
        <w:rPr>
          <w:rFonts w:ascii="Calibri" w:hAnsi="Calibri" w:cs="Calibri"/>
        </w:rPr>
      </w:pPr>
    </w:p>
    <w:p w:rsidR="00782FC6" w:rsidRPr="00086261" w:rsidRDefault="00782FC6" w:rsidP="00782FC6">
      <w:pPr>
        <w:rPr>
          <w:rFonts w:ascii="Calibri" w:hAnsi="Calibri" w:cs="Calibri"/>
        </w:rPr>
      </w:pPr>
    </w:p>
    <w:p w:rsidR="00782FC6" w:rsidRPr="00086261" w:rsidRDefault="00782FC6" w:rsidP="00782FC6">
      <w:pPr>
        <w:rPr>
          <w:rFonts w:ascii="Calibri" w:hAnsi="Calibri" w:cs="Calibri"/>
        </w:rPr>
      </w:pPr>
    </w:p>
    <w:p w:rsidR="00782FC6" w:rsidRPr="00086261" w:rsidRDefault="00782FC6" w:rsidP="00782FC6">
      <w:pPr>
        <w:rPr>
          <w:rFonts w:ascii="Calibri" w:hAnsi="Calibri" w:cs="Calibri"/>
        </w:rPr>
      </w:pPr>
    </w:p>
    <w:p w:rsidR="00782FC6" w:rsidRPr="00086261" w:rsidRDefault="00782FC6" w:rsidP="00782FC6">
      <w:pPr>
        <w:rPr>
          <w:rFonts w:ascii="Calibri" w:hAnsi="Calibri" w:cs="Calibri"/>
        </w:rPr>
      </w:pPr>
    </w:p>
    <w:p w:rsidR="00782FC6" w:rsidRDefault="00782FC6" w:rsidP="00782FC6">
      <w:pPr>
        <w:rPr>
          <w:rFonts w:ascii="Calibri" w:hAnsi="Calibri" w:cs="Calibri"/>
        </w:rPr>
      </w:pPr>
    </w:p>
    <w:p w:rsidR="00782FC6" w:rsidRDefault="00782FC6" w:rsidP="00782FC6">
      <w:pPr>
        <w:rPr>
          <w:rFonts w:ascii="Calibri" w:hAnsi="Calibri" w:cs="Calibri"/>
        </w:rPr>
      </w:pPr>
    </w:p>
    <w:p w:rsidR="00782FC6" w:rsidRDefault="00782FC6" w:rsidP="00782FC6">
      <w:pPr>
        <w:rPr>
          <w:rFonts w:ascii="Calibri" w:hAnsi="Calibri" w:cs="Calibri"/>
        </w:rPr>
      </w:pPr>
    </w:p>
    <w:p w:rsidR="00782FC6" w:rsidRDefault="00782FC6" w:rsidP="00782FC6">
      <w:pPr>
        <w:rPr>
          <w:rFonts w:ascii="Calibri" w:hAnsi="Calibri" w:cs="Calibri"/>
        </w:rPr>
      </w:pPr>
    </w:p>
    <w:p w:rsidR="00782FC6" w:rsidRDefault="00782FC6" w:rsidP="00782FC6">
      <w:pPr>
        <w:rPr>
          <w:rFonts w:ascii="Calibri" w:hAnsi="Calibri" w:cs="Calibri"/>
        </w:rPr>
      </w:pPr>
    </w:p>
    <w:p w:rsidR="00782FC6" w:rsidRDefault="00782FC6" w:rsidP="00782FC6">
      <w:pPr>
        <w:rPr>
          <w:rFonts w:ascii="Calibri" w:hAnsi="Calibri" w:cs="Calibri"/>
        </w:rPr>
      </w:pPr>
    </w:p>
    <w:p w:rsidR="00782FC6" w:rsidRDefault="00782FC6" w:rsidP="00782FC6">
      <w:pPr>
        <w:rPr>
          <w:rFonts w:ascii="Calibri" w:hAnsi="Calibri" w:cs="Calibri"/>
        </w:rPr>
      </w:pPr>
    </w:p>
    <w:p w:rsidR="00782FC6" w:rsidRDefault="00782FC6" w:rsidP="00782FC6">
      <w:pPr>
        <w:rPr>
          <w:rFonts w:ascii="Calibri" w:hAnsi="Calibri" w:cs="Calibri"/>
        </w:rPr>
      </w:pPr>
    </w:p>
    <w:p w:rsidR="00782FC6" w:rsidRDefault="00782FC6" w:rsidP="00782FC6">
      <w:pPr>
        <w:rPr>
          <w:rFonts w:ascii="Calibri" w:hAnsi="Calibri" w:cs="Calibri"/>
        </w:rPr>
      </w:pPr>
    </w:p>
    <w:p w:rsidR="00782FC6" w:rsidRDefault="00782FC6" w:rsidP="00782FC6">
      <w:pPr>
        <w:rPr>
          <w:rFonts w:ascii="Calibri" w:hAnsi="Calibri" w:cs="Calibri"/>
        </w:rPr>
      </w:pPr>
    </w:p>
    <w:p w:rsidR="00782FC6" w:rsidRDefault="00782FC6" w:rsidP="00782FC6">
      <w:pPr>
        <w:rPr>
          <w:rFonts w:ascii="Calibri" w:hAnsi="Calibri" w:cs="Calibri"/>
        </w:rPr>
      </w:pPr>
    </w:p>
    <w:p w:rsidR="00782FC6" w:rsidRPr="00086261" w:rsidRDefault="00782FC6" w:rsidP="00782FC6">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5180"/>
        <w:gridCol w:w="1960"/>
      </w:tblGrid>
      <w:tr w:rsidR="00782FC6" w:rsidRPr="00B52670" w:rsidTr="00B74310">
        <w:tc>
          <w:tcPr>
            <w:tcW w:w="1951" w:type="dxa"/>
            <w:shd w:val="clear" w:color="auto" w:fill="auto"/>
          </w:tcPr>
          <w:p w:rsidR="00782FC6" w:rsidRPr="00B52670" w:rsidRDefault="00782FC6" w:rsidP="00B74310">
            <w:pPr>
              <w:rPr>
                <w:b/>
                <w:bCs/>
                <w:color w:val="000000"/>
              </w:rPr>
            </w:pPr>
            <w:r w:rsidRPr="00B52670">
              <w:rPr>
                <w:b/>
                <w:bCs/>
                <w:color w:val="000000"/>
              </w:rPr>
              <w:t>Aktivnost:</w:t>
            </w:r>
          </w:p>
        </w:tc>
        <w:tc>
          <w:tcPr>
            <w:tcW w:w="5322" w:type="dxa"/>
            <w:shd w:val="clear" w:color="auto" w:fill="auto"/>
          </w:tcPr>
          <w:p w:rsidR="00782FC6" w:rsidRPr="00B52670" w:rsidRDefault="00782FC6" w:rsidP="00B74310">
            <w:pPr>
              <w:rPr>
                <w:b/>
                <w:bCs/>
              </w:rPr>
            </w:pPr>
            <w:r w:rsidRPr="00B52670">
              <w:rPr>
                <w:b/>
                <w:bCs/>
              </w:rPr>
              <w:t>A Uprava 8103</w:t>
            </w:r>
          </w:p>
          <w:p w:rsidR="00782FC6" w:rsidRPr="00B52670" w:rsidRDefault="00782FC6" w:rsidP="00A83A30">
            <w:pPr>
              <w:rPr>
                <w:b/>
                <w:bCs/>
                <w:color w:val="000000"/>
              </w:rPr>
            </w:pPr>
            <w:r w:rsidRPr="00B52670">
              <w:rPr>
                <w:b/>
                <w:bCs/>
              </w:rPr>
              <w:t>P</w:t>
            </w:r>
            <w:r w:rsidR="00A83A30">
              <w:rPr>
                <w:b/>
                <w:bCs/>
              </w:rPr>
              <w:t>rogram:</w:t>
            </w:r>
            <w:r w:rsidRPr="00B52670">
              <w:rPr>
                <w:b/>
                <w:bCs/>
              </w:rPr>
              <w:t xml:space="preserve"> </w:t>
            </w:r>
            <w:r w:rsidR="00A83A30">
              <w:rPr>
                <w:b/>
                <w:bCs/>
              </w:rPr>
              <w:t>P</w:t>
            </w:r>
            <w:r w:rsidRPr="00B52670">
              <w:rPr>
                <w:b/>
                <w:bCs/>
              </w:rPr>
              <w:t>22 ZDRAVSTVO</w:t>
            </w:r>
            <w:r w:rsidR="00A83A30">
              <w:rPr>
                <w:b/>
                <w:bCs/>
              </w:rPr>
              <w:t>-</w:t>
            </w:r>
            <w:r>
              <w:rPr>
                <w:b/>
                <w:bCs/>
              </w:rPr>
              <w:t>DECENTRALIZACIJA</w:t>
            </w:r>
            <w:r w:rsidRPr="00B52670">
              <w:rPr>
                <w:b/>
                <w:bCs/>
              </w:rPr>
              <w:t xml:space="preserve"> </w:t>
            </w:r>
          </w:p>
        </w:tc>
        <w:tc>
          <w:tcPr>
            <w:tcW w:w="2015" w:type="dxa"/>
            <w:shd w:val="clear" w:color="auto" w:fill="auto"/>
          </w:tcPr>
          <w:p w:rsidR="00782FC6" w:rsidRPr="00B52670" w:rsidRDefault="00C27A0C" w:rsidP="00C27A0C">
            <w:pPr>
              <w:jc w:val="right"/>
              <w:rPr>
                <w:b/>
                <w:bCs/>
                <w:color w:val="000000"/>
              </w:rPr>
            </w:pPr>
            <w:r>
              <w:rPr>
                <w:b/>
                <w:bCs/>
                <w:color w:val="000000"/>
              </w:rPr>
              <w:t>167</w:t>
            </w:r>
            <w:r w:rsidR="002C26E1">
              <w:rPr>
                <w:b/>
                <w:bCs/>
                <w:color w:val="000000"/>
              </w:rPr>
              <w:t>.</w:t>
            </w:r>
            <w:r>
              <w:rPr>
                <w:b/>
                <w:bCs/>
                <w:color w:val="000000"/>
              </w:rPr>
              <w:t>994</w:t>
            </w:r>
            <w:r w:rsidR="00A83A30">
              <w:rPr>
                <w:b/>
                <w:bCs/>
                <w:color w:val="000000"/>
              </w:rPr>
              <w:t xml:space="preserve"> EUR</w:t>
            </w:r>
          </w:p>
        </w:tc>
      </w:tr>
      <w:tr w:rsidR="00782FC6" w:rsidRPr="00B52670" w:rsidTr="00B74310">
        <w:tc>
          <w:tcPr>
            <w:tcW w:w="1951" w:type="dxa"/>
            <w:shd w:val="clear" w:color="auto" w:fill="auto"/>
          </w:tcPr>
          <w:p w:rsidR="00782FC6" w:rsidRPr="00B52670" w:rsidRDefault="00782FC6" w:rsidP="00B74310">
            <w:pPr>
              <w:rPr>
                <w:b/>
                <w:bCs/>
                <w:color w:val="000000"/>
              </w:rPr>
            </w:pPr>
            <w:r w:rsidRPr="00B52670">
              <w:rPr>
                <w:b/>
                <w:bCs/>
                <w:color w:val="000000"/>
              </w:rPr>
              <w:t>Opis 1:</w:t>
            </w:r>
          </w:p>
        </w:tc>
        <w:tc>
          <w:tcPr>
            <w:tcW w:w="7337" w:type="dxa"/>
            <w:gridSpan w:val="2"/>
            <w:shd w:val="clear" w:color="auto" w:fill="auto"/>
          </w:tcPr>
          <w:p w:rsidR="002C26E1" w:rsidRDefault="00782FC6" w:rsidP="00B74310">
            <w:pPr>
              <w:jc w:val="both"/>
            </w:pPr>
            <w:r w:rsidRPr="00B52670">
              <w:t>Financijskim planom predvidjeli smo</w:t>
            </w:r>
            <w:r w:rsidR="00A83A30">
              <w:t xml:space="preserve"> dece</w:t>
            </w:r>
            <w:r w:rsidR="002C26E1">
              <w:t xml:space="preserve">ntralizaciju u iznosu od </w:t>
            </w:r>
            <w:r w:rsidR="00C27A0C">
              <w:rPr>
                <w:b/>
              </w:rPr>
              <w:t>167.994</w:t>
            </w:r>
            <w:r w:rsidR="00A83A30">
              <w:t xml:space="preserve"> EUR</w:t>
            </w:r>
            <w:r w:rsidR="00F91933">
              <w:t xml:space="preserve"> sukladno Odluci o minimalnim</w:t>
            </w:r>
            <w:r w:rsidR="00A83A30">
              <w:t xml:space="preserve"> financijskim </w:t>
            </w:r>
            <w:r w:rsidR="00F91933">
              <w:t xml:space="preserve">standardima za decentralizirane funkcije za zdravstvene </w:t>
            </w:r>
            <w:r w:rsidR="002C26E1">
              <w:t>ustanove u 2024</w:t>
            </w:r>
            <w:r w:rsidR="00F91933">
              <w:t>.</w:t>
            </w:r>
            <w:r w:rsidR="007D4571">
              <w:t xml:space="preserve">godini. </w:t>
            </w:r>
            <w:r w:rsidR="00F91933">
              <w:t>Na</w:t>
            </w:r>
            <w:r>
              <w:t xml:space="preserve"> usluge održavanja informatičkog sustava u zdravstvu</w:t>
            </w:r>
            <w:r w:rsidR="002C26E1">
              <w:t xml:space="preserve"> predvidjeli smo 26.600 EUR. Planom za 2024.godinu predviđena je nabavka medicinske i laboratorijske opreme u iznosu od 52.110 EUR, računalne opreme u iznosu od 20.400 EUR. Plano</w:t>
            </w:r>
            <w:r w:rsidR="00F0114C">
              <w:t>m predviđena investicija u</w:t>
            </w:r>
            <w:r w:rsidR="002C26E1">
              <w:t xml:space="preserve"> 2024. godini </w:t>
            </w:r>
            <w:r w:rsidR="00C661EB">
              <w:t>je zamjena cjevovoda potrošne geotermalne vode za potrebe terapija</w:t>
            </w:r>
            <w:r w:rsidR="002C26E1">
              <w:t>. Ukupna</w:t>
            </w:r>
            <w:r w:rsidR="00F0114C">
              <w:t xml:space="preserve"> procijenjena</w:t>
            </w:r>
            <w:r w:rsidR="002C26E1">
              <w:t xml:space="preserve"> vrijednost investicije </w:t>
            </w:r>
            <w:r w:rsidR="00C661EB">
              <w:t>je 117.500 EUR-a</w:t>
            </w:r>
            <w:r w:rsidR="00F0114C">
              <w:t xml:space="preserve"> , sufinanciranje dijelom iz decentralizira</w:t>
            </w:r>
            <w:r w:rsidR="00C27A0C">
              <w:t>nih sredstava u iznosu od 68.884</w:t>
            </w:r>
            <w:r w:rsidR="00F0114C">
              <w:t xml:space="preserve"> EUR a dijelom iz vlastit</w:t>
            </w:r>
            <w:r w:rsidR="00C661EB">
              <w:t>ih sredstava u iznosu od 48.616 EUR-a</w:t>
            </w:r>
            <w:r w:rsidR="00F0114C">
              <w:t>.</w:t>
            </w:r>
          </w:p>
          <w:p w:rsidR="00782FC6" w:rsidRPr="00B52670" w:rsidRDefault="00782FC6" w:rsidP="002C26E1">
            <w:pPr>
              <w:jc w:val="both"/>
              <w:rPr>
                <w:bCs/>
                <w:color w:val="000000"/>
              </w:rPr>
            </w:pPr>
          </w:p>
        </w:tc>
      </w:tr>
      <w:tr w:rsidR="00782FC6" w:rsidRPr="00B52670" w:rsidTr="00B74310">
        <w:tc>
          <w:tcPr>
            <w:tcW w:w="1951" w:type="dxa"/>
            <w:shd w:val="clear" w:color="auto" w:fill="auto"/>
          </w:tcPr>
          <w:p w:rsidR="00782FC6" w:rsidRPr="00B52670" w:rsidRDefault="00782FC6" w:rsidP="00B74310">
            <w:pPr>
              <w:rPr>
                <w:b/>
                <w:bCs/>
                <w:color w:val="000000"/>
              </w:rPr>
            </w:pPr>
            <w:r>
              <w:rPr>
                <w:b/>
                <w:color w:val="000000"/>
              </w:rPr>
              <w:t xml:space="preserve"> </w:t>
            </w:r>
            <w:r w:rsidRPr="00B52670">
              <w:rPr>
                <w:b/>
                <w:color w:val="000000"/>
              </w:rPr>
              <w:t>Pokazatelj uspješnosti:</w:t>
            </w:r>
          </w:p>
        </w:tc>
        <w:tc>
          <w:tcPr>
            <w:tcW w:w="7337" w:type="dxa"/>
            <w:gridSpan w:val="2"/>
            <w:shd w:val="clear" w:color="auto" w:fill="auto"/>
          </w:tcPr>
          <w:p w:rsidR="00782FC6" w:rsidRDefault="003F76FB" w:rsidP="00B74310">
            <w:pPr>
              <w:rPr>
                <w:bCs/>
                <w:color w:val="000000"/>
              </w:rPr>
            </w:pPr>
            <w:r>
              <w:rPr>
                <w:bCs/>
                <w:color w:val="000000"/>
              </w:rPr>
              <w:t>Podizanje</w:t>
            </w:r>
            <w:r w:rsidR="00782FC6" w:rsidRPr="00B52670">
              <w:rPr>
                <w:bCs/>
                <w:color w:val="000000"/>
              </w:rPr>
              <w:t xml:space="preserve"> kvalitete pruženih usluga, kako bi </w:t>
            </w:r>
            <w:r>
              <w:rPr>
                <w:bCs/>
                <w:color w:val="000000"/>
              </w:rPr>
              <w:t>se zadovoljili zahtjevi, propisi i kvaliteta pruženih usluga pacijentima i korisnicima zdravstvenih usluga.</w:t>
            </w:r>
          </w:p>
          <w:p w:rsidR="00782FC6" w:rsidRPr="00B52670" w:rsidRDefault="00782FC6" w:rsidP="00B74310">
            <w:pPr>
              <w:rPr>
                <w:bCs/>
                <w:color w:val="000000"/>
              </w:rPr>
            </w:pPr>
          </w:p>
        </w:tc>
      </w:tr>
    </w:tbl>
    <w:p w:rsidR="00782FC6" w:rsidRPr="00B52670" w:rsidRDefault="00782FC6" w:rsidP="00782F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6"/>
        <w:gridCol w:w="5156"/>
        <w:gridCol w:w="1980"/>
      </w:tblGrid>
      <w:tr w:rsidR="00782FC6" w:rsidRPr="00B52670" w:rsidTr="00B74310">
        <w:tc>
          <w:tcPr>
            <w:tcW w:w="1951" w:type="dxa"/>
            <w:shd w:val="clear" w:color="auto" w:fill="auto"/>
          </w:tcPr>
          <w:p w:rsidR="00782FC6" w:rsidRPr="00B52670" w:rsidRDefault="00782FC6" w:rsidP="00B74310">
            <w:pPr>
              <w:rPr>
                <w:b/>
                <w:bCs/>
                <w:color w:val="000000"/>
              </w:rPr>
            </w:pPr>
            <w:r w:rsidRPr="00B52670">
              <w:rPr>
                <w:b/>
                <w:bCs/>
                <w:color w:val="000000"/>
              </w:rPr>
              <w:t>Aktivnost:</w:t>
            </w:r>
          </w:p>
        </w:tc>
        <w:tc>
          <w:tcPr>
            <w:tcW w:w="5322" w:type="dxa"/>
            <w:shd w:val="clear" w:color="auto" w:fill="auto"/>
          </w:tcPr>
          <w:p w:rsidR="00782FC6" w:rsidRPr="00B52670" w:rsidRDefault="00782FC6" w:rsidP="00B74310">
            <w:pPr>
              <w:rPr>
                <w:b/>
                <w:bCs/>
              </w:rPr>
            </w:pPr>
            <w:r w:rsidRPr="00B52670">
              <w:rPr>
                <w:b/>
                <w:bCs/>
              </w:rPr>
              <w:t>A Uprava 8103</w:t>
            </w:r>
          </w:p>
          <w:p w:rsidR="00782FC6" w:rsidRPr="00B52670" w:rsidRDefault="00A83A30" w:rsidP="00B74310">
            <w:pPr>
              <w:rPr>
                <w:b/>
                <w:bCs/>
                <w:color w:val="000000"/>
              </w:rPr>
            </w:pPr>
            <w:r>
              <w:rPr>
                <w:b/>
                <w:bCs/>
              </w:rPr>
              <w:t>Program: P</w:t>
            </w:r>
            <w:r w:rsidR="00782FC6" w:rsidRPr="00B52670">
              <w:rPr>
                <w:b/>
                <w:bCs/>
              </w:rPr>
              <w:t>1 REDOVNE DJELATNOSTI</w:t>
            </w:r>
          </w:p>
        </w:tc>
        <w:tc>
          <w:tcPr>
            <w:tcW w:w="2015" w:type="dxa"/>
            <w:shd w:val="clear" w:color="auto" w:fill="auto"/>
          </w:tcPr>
          <w:p w:rsidR="00782FC6" w:rsidRPr="00B52670" w:rsidRDefault="00F0114C" w:rsidP="00B74310">
            <w:pPr>
              <w:jc w:val="right"/>
              <w:rPr>
                <w:b/>
                <w:bCs/>
                <w:color w:val="000000"/>
              </w:rPr>
            </w:pPr>
            <w:r>
              <w:rPr>
                <w:b/>
                <w:bCs/>
                <w:color w:val="000000"/>
              </w:rPr>
              <w:t>10.234.909</w:t>
            </w:r>
            <w:r w:rsidR="00C00689">
              <w:rPr>
                <w:b/>
                <w:bCs/>
                <w:color w:val="000000"/>
              </w:rPr>
              <w:t xml:space="preserve"> EUR</w:t>
            </w:r>
          </w:p>
        </w:tc>
      </w:tr>
      <w:tr w:rsidR="00782FC6" w:rsidRPr="00B52670" w:rsidTr="00B74310">
        <w:tc>
          <w:tcPr>
            <w:tcW w:w="1951" w:type="dxa"/>
            <w:shd w:val="clear" w:color="auto" w:fill="auto"/>
          </w:tcPr>
          <w:p w:rsidR="00782FC6" w:rsidRPr="00B52670" w:rsidRDefault="00782FC6" w:rsidP="00B74310">
            <w:pPr>
              <w:rPr>
                <w:b/>
                <w:bCs/>
                <w:color w:val="000000"/>
              </w:rPr>
            </w:pPr>
            <w:r>
              <w:rPr>
                <w:b/>
                <w:bCs/>
                <w:color w:val="000000"/>
              </w:rPr>
              <w:t>Opis 1</w:t>
            </w:r>
            <w:r w:rsidRPr="00B52670">
              <w:rPr>
                <w:b/>
                <w:bCs/>
                <w:color w:val="000000"/>
              </w:rPr>
              <w:t>:</w:t>
            </w:r>
          </w:p>
        </w:tc>
        <w:tc>
          <w:tcPr>
            <w:tcW w:w="7337" w:type="dxa"/>
            <w:gridSpan w:val="2"/>
            <w:shd w:val="clear" w:color="auto" w:fill="auto"/>
          </w:tcPr>
          <w:p w:rsidR="00782FC6" w:rsidRPr="00B52670" w:rsidRDefault="00782FC6" w:rsidP="00B74310">
            <w:pPr>
              <w:jc w:val="both"/>
              <w:rPr>
                <w:b/>
              </w:rPr>
            </w:pPr>
            <w:r>
              <w:rPr>
                <w:b/>
              </w:rPr>
              <w:t>Izvor 1</w:t>
            </w:r>
            <w:r w:rsidRPr="00B52670">
              <w:rPr>
                <w:b/>
              </w:rPr>
              <w:t xml:space="preserve"> VLASTITI PRIHODI</w:t>
            </w:r>
          </w:p>
          <w:p w:rsidR="00782FC6" w:rsidRDefault="00782FC6" w:rsidP="00B74310">
            <w:pPr>
              <w:jc w:val="both"/>
            </w:pPr>
          </w:p>
          <w:p w:rsidR="007A2AB2" w:rsidRPr="00B52670" w:rsidRDefault="00782FC6" w:rsidP="00311716">
            <w:pPr>
              <w:jc w:val="both"/>
            </w:pPr>
            <w:r>
              <w:t xml:space="preserve">U prijedlogu </w:t>
            </w:r>
            <w:r w:rsidRPr="00B52670">
              <w:t>financijskog plana vlastitih prihoda,</w:t>
            </w:r>
            <w:r>
              <w:t xml:space="preserve"> ukupne</w:t>
            </w:r>
            <w:r w:rsidRPr="00B52670">
              <w:t xml:space="preserve"> </w:t>
            </w:r>
            <w:r>
              <w:t xml:space="preserve">vlastite prihode planiramo u iznosu od </w:t>
            </w:r>
            <w:r w:rsidR="00311716" w:rsidRPr="00311716">
              <w:rPr>
                <w:b/>
              </w:rPr>
              <w:t>5.826.534</w:t>
            </w:r>
            <w:r w:rsidR="00C00689">
              <w:rPr>
                <w:b/>
              </w:rPr>
              <w:t xml:space="preserve"> EUR.</w:t>
            </w:r>
            <w:r w:rsidR="00311716">
              <w:t xml:space="preserve"> Od vlastitih prihoda predviđamo ostvarenje</w:t>
            </w:r>
            <w:r>
              <w:t xml:space="preserve"> prihode od </w:t>
            </w:r>
            <w:r w:rsidRPr="00E52030">
              <w:rPr>
                <w:b/>
              </w:rPr>
              <w:t>ob</w:t>
            </w:r>
            <w:r w:rsidR="00C00689" w:rsidRPr="00E52030">
              <w:rPr>
                <w:b/>
              </w:rPr>
              <w:t>avljanja djelatnosti na tržištu</w:t>
            </w:r>
            <w:r w:rsidR="00311716" w:rsidRPr="00E52030">
              <w:rPr>
                <w:b/>
              </w:rPr>
              <w:t xml:space="preserve"> u iznosu od 3.750.995 EUR</w:t>
            </w:r>
            <w:r w:rsidR="00311716">
              <w:t>,</w:t>
            </w:r>
            <w:r w:rsidR="00C00689">
              <w:t xml:space="preserve"> i </w:t>
            </w:r>
            <w:r w:rsidR="00311716">
              <w:t>prihode od financijske imovine ( pozitivnih tečajnih razlika) u iznosu od 133 EUR</w:t>
            </w:r>
            <w:r w:rsidR="00C00689">
              <w:t>.</w:t>
            </w:r>
            <w:r w:rsidR="00311716">
              <w:t xml:space="preserve"> Planom za 2024. godinu predviđeno je</w:t>
            </w:r>
            <w:r w:rsidR="0049706B">
              <w:t xml:space="preserve"> korištenje viška iz prethodnih godina u iznosu od </w:t>
            </w:r>
            <w:r w:rsidR="00311716">
              <w:t>2.075.406</w:t>
            </w:r>
            <w:r w:rsidR="0049706B">
              <w:t xml:space="preserve"> EUR. </w:t>
            </w:r>
          </w:p>
        </w:tc>
      </w:tr>
      <w:tr w:rsidR="00782FC6" w:rsidRPr="00B52670" w:rsidTr="00B74310">
        <w:tc>
          <w:tcPr>
            <w:tcW w:w="1951" w:type="dxa"/>
            <w:shd w:val="clear" w:color="auto" w:fill="auto"/>
          </w:tcPr>
          <w:p w:rsidR="00782FC6" w:rsidRPr="00B52670" w:rsidRDefault="00782FC6" w:rsidP="00B74310">
            <w:pPr>
              <w:rPr>
                <w:b/>
                <w:bCs/>
                <w:color w:val="000000"/>
              </w:rPr>
            </w:pPr>
            <w:r w:rsidRPr="00B52670">
              <w:rPr>
                <w:b/>
                <w:bCs/>
                <w:color w:val="000000"/>
              </w:rPr>
              <w:t xml:space="preserve">Opis </w:t>
            </w:r>
            <w:r>
              <w:rPr>
                <w:b/>
                <w:bCs/>
                <w:color w:val="000000"/>
              </w:rPr>
              <w:t>2</w:t>
            </w:r>
            <w:r w:rsidRPr="00B52670">
              <w:rPr>
                <w:b/>
                <w:bCs/>
                <w:color w:val="000000"/>
              </w:rPr>
              <w:t>:</w:t>
            </w:r>
          </w:p>
        </w:tc>
        <w:tc>
          <w:tcPr>
            <w:tcW w:w="7337" w:type="dxa"/>
            <w:gridSpan w:val="2"/>
            <w:shd w:val="clear" w:color="auto" w:fill="auto"/>
          </w:tcPr>
          <w:p w:rsidR="00782FC6" w:rsidRPr="00B52670" w:rsidRDefault="00782FC6" w:rsidP="00B74310">
            <w:pPr>
              <w:jc w:val="both"/>
              <w:rPr>
                <w:b/>
              </w:rPr>
            </w:pPr>
            <w:r w:rsidRPr="00B52670">
              <w:rPr>
                <w:b/>
              </w:rPr>
              <w:t xml:space="preserve">Izvor </w:t>
            </w:r>
            <w:r>
              <w:rPr>
                <w:b/>
              </w:rPr>
              <w:t>2</w:t>
            </w:r>
            <w:r w:rsidRPr="00B52670">
              <w:rPr>
                <w:b/>
              </w:rPr>
              <w:t xml:space="preserve"> PRIHODI ZA POSEBNE NAMJENE</w:t>
            </w:r>
          </w:p>
          <w:p w:rsidR="00782FC6" w:rsidRPr="00B52670" w:rsidRDefault="00782FC6" w:rsidP="00B74310">
            <w:pPr>
              <w:jc w:val="both"/>
            </w:pPr>
          </w:p>
          <w:p w:rsidR="00782FC6" w:rsidRPr="00B52670" w:rsidRDefault="00782FC6" w:rsidP="00B74310">
            <w:pPr>
              <w:jc w:val="both"/>
            </w:pPr>
            <w:r>
              <w:t xml:space="preserve">Prihode za posebne namjene </w:t>
            </w:r>
            <w:r w:rsidRPr="00B52670">
              <w:t>planiramo</w:t>
            </w:r>
            <w:r>
              <w:t xml:space="preserve"> u ukupnom iznosu od </w:t>
            </w:r>
            <w:r w:rsidR="003B0FE3" w:rsidRPr="003B0FE3">
              <w:rPr>
                <w:b/>
              </w:rPr>
              <w:t>3.493.634</w:t>
            </w:r>
            <w:r w:rsidR="007A2AB2">
              <w:rPr>
                <w:b/>
              </w:rPr>
              <w:t xml:space="preserve"> EUR</w:t>
            </w:r>
            <w:r w:rsidR="00B45EEE">
              <w:t xml:space="preserve">, </w:t>
            </w:r>
            <w:r w:rsidR="00B45EEE" w:rsidRPr="00B45EEE">
              <w:rPr>
                <w:b/>
              </w:rPr>
              <w:t>2.</w:t>
            </w:r>
            <w:r w:rsidR="003B0FE3">
              <w:rPr>
                <w:b/>
              </w:rPr>
              <w:t>920</w:t>
            </w:r>
            <w:r w:rsidR="00B45EEE" w:rsidRPr="00B45EEE">
              <w:rPr>
                <w:b/>
              </w:rPr>
              <w:t>.</w:t>
            </w:r>
            <w:r w:rsidR="003B0FE3">
              <w:rPr>
                <w:b/>
              </w:rPr>
              <w:t>584</w:t>
            </w:r>
            <w:r w:rsidR="00B45EEE" w:rsidRPr="00B45EEE">
              <w:rPr>
                <w:b/>
              </w:rPr>
              <w:t xml:space="preserve"> EUR</w:t>
            </w:r>
            <w:r>
              <w:t xml:space="preserve"> prihoda od </w:t>
            </w:r>
            <w:r w:rsidRPr="001D3427">
              <w:rPr>
                <w:b/>
              </w:rPr>
              <w:t>ugovora sa HZZO-m</w:t>
            </w:r>
            <w:r>
              <w:t xml:space="preserve"> od u</w:t>
            </w:r>
            <w:r w:rsidR="003B0FE3">
              <w:t>govorenoga limita ( 237.515</w:t>
            </w:r>
            <w:r w:rsidR="00B45EEE">
              <w:t xml:space="preserve"> EUR</w:t>
            </w:r>
            <w:r>
              <w:t xml:space="preserve"> mjesečni limit).  Prihode od </w:t>
            </w:r>
            <w:r w:rsidRPr="001D3427">
              <w:rPr>
                <w:b/>
              </w:rPr>
              <w:t xml:space="preserve">dopunskog osiguranja i participacije u iznosu od </w:t>
            </w:r>
            <w:r w:rsidR="003B0FE3">
              <w:rPr>
                <w:b/>
              </w:rPr>
              <w:t>573.050</w:t>
            </w:r>
            <w:r w:rsidR="00B45EEE">
              <w:rPr>
                <w:b/>
              </w:rPr>
              <w:t xml:space="preserve"> EUR</w:t>
            </w:r>
            <w:r>
              <w:rPr>
                <w:b/>
              </w:rPr>
              <w:t xml:space="preserve">. </w:t>
            </w:r>
          </w:p>
          <w:p w:rsidR="00782FC6" w:rsidRPr="00B52670" w:rsidRDefault="00782FC6" w:rsidP="00B74310">
            <w:pPr>
              <w:jc w:val="both"/>
            </w:pPr>
          </w:p>
        </w:tc>
      </w:tr>
      <w:tr w:rsidR="00782FC6" w:rsidRPr="00B52670" w:rsidTr="00B74310">
        <w:tc>
          <w:tcPr>
            <w:tcW w:w="1951" w:type="dxa"/>
            <w:shd w:val="clear" w:color="auto" w:fill="auto"/>
          </w:tcPr>
          <w:p w:rsidR="00782FC6" w:rsidRPr="00B52670" w:rsidRDefault="00782FC6" w:rsidP="00B74310">
            <w:pPr>
              <w:rPr>
                <w:b/>
                <w:bCs/>
                <w:color w:val="000000"/>
              </w:rPr>
            </w:pPr>
            <w:r w:rsidRPr="00B52670">
              <w:rPr>
                <w:b/>
                <w:bCs/>
                <w:color w:val="000000"/>
              </w:rPr>
              <w:t xml:space="preserve">Opis </w:t>
            </w:r>
            <w:r>
              <w:rPr>
                <w:b/>
                <w:bCs/>
                <w:color w:val="000000"/>
              </w:rPr>
              <w:t>3</w:t>
            </w:r>
            <w:r w:rsidRPr="00B52670">
              <w:rPr>
                <w:b/>
                <w:bCs/>
                <w:color w:val="000000"/>
              </w:rPr>
              <w:t>:</w:t>
            </w:r>
          </w:p>
        </w:tc>
        <w:tc>
          <w:tcPr>
            <w:tcW w:w="7337" w:type="dxa"/>
            <w:gridSpan w:val="2"/>
            <w:shd w:val="clear" w:color="auto" w:fill="auto"/>
          </w:tcPr>
          <w:p w:rsidR="00782FC6" w:rsidRPr="00B52670" w:rsidRDefault="00782FC6" w:rsidP="00B74310">
            <w:pPr>
              <w:jc w:val="both"/>
              <w:rPr>
                <w:b/>
              </w:rPr>
            </w:pPr>
            <w:r>
              <w:rPr>
                <w:b/>
              </w:rPr>
              <w:t>Izvor 3</w:t>
            </w:r>
            <w:r w:rsidRPr="00B52670">
              <w:rPr>
                <w:b/>
              </w:rPr>
              <w:t xml:space="preserve"> POMOĆI</w:t>
            </w:r>
          </w:p>
          <w:p w:rsidR="00782FC6" w:rsidRPr="00B52670" w:rsidRDefault="00782FC6" w:rsidP="00B74310">
            <w:pPr>
              <w:jc w:val="both"/>
              <w:rPr>
                <w:b/>
              </w:rPr>
            </w:pPr>
          </w:p>
          <w:p w:rsidR="00A53C4A" w:rsidRDefault="00782FC6" w:rsidP="00B74310">
            <w:pPr>
              <w:jc w:val="both"/>
            </w:pPr>
            <w:r w:rsidRPr="00B52670">
              <w:t>P</w:t>
            </w:r>
            <w:r>
              <w:t xml:space="preserve">rihode od pomoći planiramo u iznosu od </w:t>
            </w:r>
            <w:r w:rsidR="003B0FE3">
              <w:rPr>
                <w:b/>
              </w:rPr>
              <w:t>910.741</w:t>
            </w:r>
            <w:r w:rsidR="00B45EEE">
              <w:rPr>
                <w:b/>
              </w:rPr>
              <w:t xml:space="preserve"> EUR</w:t>
            </w:r>
            <w:r>
              <w:t xml:space="preserve">. Ustanova očekuje javni poziv od strane </w:t>
            </w:r>
            <w:r w:rsidRPr="00E52030">
              <w:rPr>
                <w:i/>
                <w:u w:val="single"/>
              </w:rPr>
              <w:t>Ministarstva kulture</w:t>
            </w:r>
            <w:r>
              <w:t xml:space="preserve"> na koji planira </w:t>
            </w:r>
            <w:r>
              <w:lastRenderedPageBreak/>
              <w:t>aplicirati. Projekt sa kojim se prijavljuje odnosi se na uređenje Antunovog izvora.</w:t>
            </w:r>
            <w:r w:rsidR="003B0FE3">
              <w:t xml:space="preserve"> Nastavak sanacije Antunovog izvora obuhvaća</w:t>
            </w:r>
            <w:r>
              <w:t xml:space="preserve"> </w:t>
            </w:r>
            <w:r w:rsidR="003B0FE3">
              <w:t>sanaciju kapilarne vlage unutarnjih i vanjskih zidova</w:t>
            </w:r>
            <w:r w:rsidR="00A53C4A">
              <w:t>. U</w:t>
            </w:r>
            <w:r>
              <w:t>kupna vrijednost</w:t>
            </w:r>
            <w:r w:rsidR="00A53C4A">
              <w:t xml:space="preserve"> radova  </w:t>
            </w:r>
            <w:r>
              <w:t xml:space="preserve">iznosi </w:t>
            </w:r>
            <w:r w:rsidR="00A53C4A">
              <w:t>81.900</w:t>
            </w:r>
            <w:r w:rsidR="004913FF">
              <w:t xml:space="preserve"> EUR. Ustanova</w:t>
            </w:r>
            <w:r w:rsidR="00B45EEE">
              <w:t xml:space="preserve"> očekuje sufinanciranje </w:t>
            </w:r>
            <w:r w:rsidR="00A53C4A">
              <w:t xml:space="preserve">u iznosu od  </w:t>
            </w:r>
            <w:r w:rsidR="00A53C4A" w:rsidRPr="00E52030">
              <w:rPr>
                <w:i/>
                <w:u w:val="single"/>
              </w:rPr>
              <w:t>57.281</w:t>
            </w:r>
            <w:r w:rsidRPr="00E52030">
              <w:rPr>
                <w:i/>
                <w:u w:val="single"/>
              </w:rPr>
              <w:t xml:space="preserve"> </w:t>
            </w:r>
            <w:r w:rsidR="00B45EEE" w:rsidRPr="00E52030">
              <w:rPr>
                <w:i/>
                <w:u w:val="single"/>
              </w:rPr>
              <w:t>EUR</w:t>
            </w:r>
            <w:r w:rsidR="00B45EEE">
              <w:t>.</w:t>
            </w:r>
          </w:p>
          <w:p w:rsidR="00C27A0C" w:rsidRDefault="00074F54" w:rsidP="00B74310">
            <w:pPr>
              <w:jc w:val="both"/>
            </w:pPr>
            <w:r>
              <w:t xml:space="preserve">U srpnju se ustanova javila na javni poziv za sufinanciranje nabave uređaja za sprečavanje nastanka </w:t>
            </w:r>
            <w:proofErr w:type="spellStart"/>
            <w:r>
              <w:t>biootpada</w:t>
            </w:r>
            <w:proofErr w:type="spellEnd"/>
            <w:r>
              <w:t xml:space="preserve"> u bolnicama i specijalnim bolnicama koji je objavljen od strane </w:t>
            </w:r>
            <w:r w:rsidRPr="00E52030">
              <w:rPr>
                <w:i/>
                <w:u w:val="single"/>
              </w:rPr>
              <w:t>Fonda za zaštitu okoliša i energetsku učinkovitost.</w:t>
            </w:r>
            <w:r>
              <w:t xml:space="preserve"> Ukupna vrijednost nabavke uređaja za sprečavanje </w:t>
            </w:r>
            <w:proofErr w:type="spellStart"/>
            <w:r>
              <w:t>biootpada</w:t>
            </w:r>
            <w:proofErr w:type="spellEnd"/>
            <w:r>
              <w:t xml:space="preserve"> je 25.700 EUR-a, očekivana sredstva Fonda  su </w:t>
            </w:r>
            <w:r w:rsidRPr="00E52030">
              <w:rPr>
                <w:i/>
                <w:u w:val="single"/>
              </w:rPr>
              <w:t>9.280 EUR-a</w:t>
            </w:r>
            <w:r>
              <w:t xml:space="preserve">.  </w:t>
            </w:r>
          </w:p>
          <w:p w:rsidR="00455B28" w:rsidRDefault="00B45EEE" w:rsidP="00B74310">
            <w:pPr>
              <w:jc w:val="both"/>
            </w:pPr>
            <w:r>
              <w:t>Ustanov</w:t>
            </w:r>
            <w:r w:rsidR="00277B0C">
              <w:t>a</w:t>
            </w:r>
            <w:r w:rsidR="00741D20">
              <w:t xml:space="preserve"> je u kolovozu prošle</w:t>
            </w:r>
            <w:r w:rsidR="00277B0C">
              <w:t xml:space="preserve"> godine ostvarila status zaštitne ili integrativne radionice, sukladno tome ima pravo tražiti subvenciju za plaće i doprinose zaposlenika integrativne radne jedinice</w:t>
            </w:r>
            <w:r w:rsidR="00741D20">
              <w:t>.</w:t>
            </w:r>
            <w:r w:rsidR="00455B28">
              <w:t xml:space="preserve"> Trenutno se u jedinici nalazi 32 zaposlenika, u 2024. godini se oček</w:t>
            </w:r>
            <w:r w:rsidR="00AF466B">
              <w:t>uje porast broja osoba kojima će biti</w:t>
            </w:r>
            <w:r w:rsidR="00455B28">
              <w:t xml:space="preserve"> priznat invaliditet u odnosu na rad</w:t>
            </w:r>
            <w:r w:rsidR="00442B83">
              <w:t xml:space="preserve"> nakon obavljenog vještačenja</w:t>
            </w:r>
            <w:r w:rsidR="00455B28">
              <w:t xml:space="preserve">. Planom predviđena sredstava u 2024. godini za </w:t>
            </w:r>
            <w:r w:rsidR="00455B28" w:rsidRPr="00E52030">
              <w:rPr>
                <w:i/>
                <w:u w:val="single"/>
              </w:rPr>
              <w:t xml:space="preserve">subvenciju plaća </w:t>
            </w:r>
            <w:r w:rsidR="00C661EB" w:rsidRPr="00E52030">
              <w:rPr>
                <w:i/>
                <w:u w:val="single"/>
              </w:rPr>
              <w:t>iznose</w:t>
            </w:r>
            <w:r w:rsidR="00455B28" w:rsidRPr="00E52030">
              <w:rPr>
                <w:i/>
                <w:u w:val="single"/>
              </w:rPr>
              <w:t xml:space="preserve"> 347.780</w:t>
            </w:r>
            <w:r w:rsidR="00C661EB" w:rsidRPr="00E52030">
              <w:rPr>
                <w:i/>
                <w:u w:val="single"/>
              </w:rPr>
              <w:t xml:space="preserve"> EUR-a</w:t>
            </w:r>
            <w:r w:rsidR="00C661EB">
              <w:t>.</w:t>
            </w:r>
            <w:r w:rsidR="00455B28">
              <w:t xml:space="preserve">   </w:t>
            </w:r>
          </w:p>
          <w:p w:rsidR="00782FC6" w:rsidRPr="00B52670" w:rsidRDefault="00C661EB" w:rsidP="00B74310">
            <w:pPr>
              <w:jc w:val="both"/>
            </w:pPr>
            <w:r>
              <w:t>Jer</w:t>
            </w:r>
            <w:r w:rsidR="00277B0C">
              <w:t xml:space="preserve"> zapo</w:t>
            </w:r>
            <w:r>
              <w:t>šljavamo osobe</w:t>
            </w:r>
            <w:r w:rsidR="00277B0C">
              <w:t xml:space="preserve"> sa invaliditetom predviđamo dobivanje </w:t>
            </w:r>
            <w:r w:rsidR="00277B0C" w:rsidRPr="00E52030">
              <w:rPr>
                <w:i/>
                <w:u w:val="single"/>
              </w:rPr>
              <w:t xml:space="preserve">de </w:t>
            </w:r>
            <w:proofErr w:type="spellStart"/>
            <w:r w:rsidR="00277B0C" w:rsidRPr="00E52030">
              <w:rPr>
                <w:i/>
                <w:u w:val="single"/>
              </w:rPr>
              <w:t>mi</w:t>
            </w:r>
            <w:r w:rsidRPr="00E52030">
              <w:rPr>
                <w:i/>
                <w:u w:val="single"/>
              </w:rPr>
              <w:t>nimis</w:t>
            </w:r>
            <w:proofErr w:type="spellEnd"/>
            <w:r w:rsidRPr="00E52030">
              <w:rPr>
                <w:i/>
                <w:u w:val="single"/>
              </w:rPr>
              <w:t xml:space="preserve"> potpora u iznosu od 66.400</w:t>
            </w:r>
            <w:r w:rsidR="00277B0C" w:rsidRPr="00E52030">
              <w:rPr>
                <w:i/>
                <w:u w:val="single"/>
              </w:rPr>
              <w:t xml:space="preserve"> EUR</w:t>
            </w:r>
            <w:r w:rsidRPr="00E52030">
              <w:rPr>
                <w:i/>
                <w:u w:val="single"/>
              </w:rPr>
              <w:t>-a</w:t>
            </w:r>
            <w:r w:rsidR="00277B0C">
              <w:t xml:space="preserve">. Sukladno statusu koji je Ustanova dobila imamo pravo na sredstva za širenje, adaptaciju i opremanje prostora integrativne radne jedinice i za </w:t>
            </w:r>
            <w:r w:rsidR="00277B0C" w:rsidRPr="00E52030">
              <w:rPr>
                <w:i/>
                <w:u w:val="single"/>
              </w:rPr>
              <w:t>nabavu nove tehnologije i opreme, pred</w:t>
            </w:r>
            <w:r w:rsidRPr="00E52030">
              <w:rPr>
                <w:i/>
                <w:u w:val="single"/>
              </w:rPr>
              <w:t>viđamo pomoć u iznosu od 430.000</w:t>
            </w:r>
            <w:r w:rsidR="00277B0C" w:rsidRPr="00E52030">
              <w:rPr>
                <w:i/>
                <w:u w:val="single"/>
              </w:rPr>
              <w:t xml:space="preserve"> EUR.</w:t>
            </w:r>
            <w:r w:rsidR="00277B0C">
              <w:t xml:space="preserve"> </w:t>
            </w:r>
            <w:r w:rsidR="00072FD5">
              <w:t xml:space="preserve"> Planom predviđena investicija </w:t>
            </w:r>
            <w:r w:rsidR="0098356C">
              <w:t xml:space="preserve">financirana od ZOSI-a u 2024. godini je izrada nove praonice sa sunčanom elektranom i zamjena stare opreme praonice novom. </w:t>
            </w:r>
            <w:r w:rsidR="00277B0C">
              <w:t xml:space="preserve">      </w:t>
            </w:r>
          </w:p>
          <w:p w:rsidR="00782FC6" w:rsidRPr="00B52670" w:rsidRDefault="00782FC6" w:rsidP="00B74310">
            <w:pPr>
              <w:jc w:val="both"/>
              <w:rPr>
                <w:b/>
              </w:rPr>
            </w:pPr>
          </w:p>
        </w:tc>
      </w:tr>
      <w:tr w:rsidR="00782FC6" w:rsidRPr="00B52670" w:rsidTr="00B74310">
        <w:tc>
          <w:tcPr>
            <w:tcW w:w="1951" w:type="dxa"/>
            <w:shd w:val="clear" w:color="auto" w:fill="auto"/>
          </w:tcPr>
          <w:p w:rsidR="00782FC6" w:rsidRPr="00B52670" w:rsidRDefault="00782FC6" w:rsidP="00B74310">
            <w:pPr>
              <w:rPr>
                <w:b/>
                <w:bCs/>
                <w:color w:val="000000"/>
              </w:rPr>
            </w:pPr>
            <w:r>
              <w:rPr>
                <w:b/>
                <w:bCs/>
                <w:color w:val="000000"/>
              </w:rPr>
              <w:lastRenderedPageBreak/>
              <w:t>Opis 4</w:t>
            </w:r>
            <w:r w:rsidRPr="00B52670">
              <w:rPr>
                <w:b/>
                <w:bCs/>
                <w:color w:val="000000"/>
              </w:rPr>
              <w:t>:</w:t>
            </w:r>
          </w:p>
          <w:p w:rsidR="00782FC6" w:rsidRPr="00B52670" w:rsidRDefault="00782FC6" w:rsidP="00B74310">
            <w:pPr>
              <w:rPr>
                <w:b/>
                <w:bCs/>
                <w:color w:val="000000"/>
              </w:rPr>
            </w:pPr>
          </w:p>
        </w:tc>
        <w:tc>
          <w:tcPr>
            <w:tcW w:w="7337" w:type="dxa"/>
            <w:gridSpan w:val="2"/>
            <w:shd w:val="clear" w:color="auto" w:fill="auto"/>
          </w:tcPr>
          <w:p w:rsidR="00782FC6" w:rsidRDefault="00782FC6" w:rsidP="00B74310">
            <w:pPr>
              <w:jc w:val="both"/>
              <w:rPr>
                <w:b/>
              </w:rPr>
            </w:pPr>
            <w:r w:rsidRPr="00F15723">
              <w:rPr>
                <w:b/>
              </w:rPr>
              <w:t xml:space="preserve">Izvor 4 </w:t>
            </w:r>
            <w:r w:rsidRPr="00B52670">
              <w:rPr>
                <w:b/>
              </w:rPr>
              <w:t xml:space="preserve"> PRIHODI OD PRODAJE  ILI ZAMJENE </w:t>
            </w:r>
          </w:p>
          <w:p w:rsidR="00782FC6" w:rsidRPr="00B52670" w:rsidRDefault="00782FC6" w:rsidP="00B74310">
            <w:pPr>
              <w:jc w:val="both"/>
              <w:rPr>
                <w:b/>
              </w:rPr>
            </w:pPr>
          </w:p>
          <w:p w:rsidR="00782FC6" w:rsidRDefault="00782FC6" w:rsidP="00B74310">
            <w:pPr>
              <w:jc w:val="both"/>
            </w:pPr>
            <w:r>
              <w:t>Prihode od prodaje nefinancijske imovine i nadoknade šteta s osnova osiguranja planiramo u iznosu od</w:t>
            </w:r>
            <w:r w:rsidRPr="00B52670">
              <w:t xml:space="preserve"> </w:t>
            </w:r>
            <w:r w:rsidR="00E52030">
              <w:rPr>
                <w:b/>
              </w:rPr>
              <w:t>4.000</w:t>
            </w:r>
            <w:r w:rsidR="00F83E4B">
              <w:rPr>
                <w:b/>
              </w:rPr>
              <w:t xml:space="preserve"> EUR</w:t>
            </w:r>
            <w:r w:rsidR="00E52030">
              <w:rPr>
                <w:b/>
              </w:rPr>
              <w:t>-a</w:t>
            </w:r>
            <w:r>
              <w:t xml:space="preserve"> temeljem</w:t>
            </w:r>
            <w:r w:rsidRPr="00B52670">
              <w:t xml:space="preserve"> </w:t>
            </w:r>
            <w:r>
              <w:t>r</w:t>
            </w:r>
            <w:r w:rsidRPr="00B52670">
              <w:t>efundacije šteta po pri</w:t>
            </w:r>
            <w:r>
              <w:t>javama osiguravajućim društvima</w:t>
            </w:r>
            <w:r w:rsidR="00F83E4B">
              <w:t>.</w:t>
            </w:r>
          </w:p>
          <w:p w:rsidR="00782FC6" w:rsidRPr="00F15723" w:rsidRDefault="00782FC6" w:rsidP="00B74310">
            <w:pPr>
              <w:jc w:val="both"/>
              <w:rPr>
                <w:b/>
              </w:rPr>
            </w:pPr>
          </w:p>
        </w:tc>
      </w:tr>
      <w:tr w:rsidR="00782FC6" w:rsidRPr="00B52670" w:rsidTr="00B74310">
        <w:tc>
          <w:tcPr>
            <w:tcW w:w="1951" w:type="dxa"/>
            <w:shd w:val="clear" w:color="auto" w:fill="auto"/>
          </w:tcPr>
          <w:p w:rsidR="00782FC6" w:rsidRPr="00B52670" w:rsidRDefault="00782FC6" w:rsidP="00B74310">
            <w:pPr>
              <w:rPr>
                <w:b/>
                <w:bCs/>
                <w:color w:val="000000"/>
              </w:rPr>
            </w:pPr>
            <w:r>
              <w:rPr>
                <w:b/>
                <w:bCs/>
                <w:color w:val="000000"/>
              </w:rPr>
              <w:t>Pokazatelji uspješnosti:</w:t>
            </w:r>
          </w:p>
          <w:p w:rsidR="00782FC6" w:rsidRPr="00B52670" w:rsidRDefault="00782FC6" w:rsidP="00B74310">
            <w:pPr>
              <w:rPr>
                <w:b/>
                <w:bCs/>
                <w:color w:val="000000"/>
              </w:rPr>
            </w:pPr>
          </w:p>
        </w:tc>
        <w:tc>
          <w:tcPr>
            <w:tcW w:w="7337" w:type="dxa"/>
            <w:gridSpan w:val="2"/>
            <w:shd w:val="clear" w:color="auto" w:fill="auto"/>
          </w:tcPr>
          <w:p w:rsidR="00782FC6" w:rsidRDefault="00782FC6" w:rsidP="00B74310">
            <w:pPr>
              <w:jc w:val="both"/>
            </w:pPr>
            <w:r>
              <w:t xml:space="preserve">Pružanje usluga najviše kvalitete tijekom cijele godine, učinit će korisnike zadovoljnim što su za plaćenu cijenu dobili više od očekivane vrijednosti ili više od vrijednosti koju nudi konkurencija osigurat će uspješno poslovanje, trajni opstanak i održivi razvitak Daruvarskih toplica u budućnosti.  </w:t>
            </w:r>
          </w:p>
          <w:p w:rsidR="00782FC6" w:rsidRPr="00B52670" w:rsidRDefault="00782FC6" w:rsidP="00B74310">
            <w:pPr>
              <w:jc w:val="both"/>
            </w:pPr>
          </w:p>
        </w:tc>
      </w:tr>
    </w:tbl>
    <w:p w:rsidR="00782FC6" w:rsidRDefault="00782FC6" w:rsidP="00782FC6"/>
    <w:p w:rsidR="00782FC6" w:rsidRDefault="00782FC6" w:rsidP="00782FC6"/>
    <w:p w:rsidR="00782FC6" w:rsidRDefault="00782FC6" w:rsidP="00782FC6"/>
    <w:p w:rsidR="00782FC6" w:rsidRDefault="00782FC6" w:rsidP="00782FC6"/>
    <w:p w:rsidR="00782FC6" w:rsidRDefault="00782FC6" w:rsidP="00782FC6"/>
    <w:p w:rsidR="00782FC6" w:rsidRPr="00B52670" w:rsidRDefault="00782FC6" w:rsidP="00782FC6">
      <w:pPr>
        <w:rPr>
          <w:color w:val="FF0000"/>
        </w:rPr>
      </w:pPr>
    </w:p>
    <w:tbl>
      <w:tblPr>
        <w:tblpPr w:leftFromText="180" w:rightFromText="180" w:vertAnchor="page" w:horzAnchor="margin" w:tblpY="30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4"/>
        <w:gridCol w:w="5114"/>
        <w:gridCol w:w="2024"/>
      </w:tblGrid>
      <w:tr w:rsidR="00782FC6" w:rsidRPr="00B52670" w:rsidTr="00B74310">
        <w:tc>
          <w:tcPr>
            <w:tcW w:w="1951" w:type="dxa"/>
            <w:shd w:val="clear" w:color="auto" w:fill="auto"/>
          </w:tcPr>
          <w:p w:rsidR="00782FC6" w:rsidRPr="00B52670" w:rsidRDefault="00782FC6" w:rsidP="00B74310">
            <w:pPr>
              <w:rPr>
                <w:b/>
                <w:bCs/>
                <w:color w:val="000000"/>
              </w:rPr>
            </w:pPr>
            <w:r w:rsidRPr="00B52670">
              <w:rPr>
                <w:b/>
                <w:bCs/>
                <w:color w:val="000000"/>
              </w:rPr>
              <w:t>Aktivnost:</w:t>
            </w:r>
          </w:p>
        </w:tc>
        <w:tc>
          <w:tcPr>
            <w:tcW w:w="5281" w:type="dxa"/>
            <w:shd w:val="clear" w:color="auto" w:fill="auto"/>
          </w:tcPr>
          <w:p w:rsidR="00782FC6" w:rsidRPr="00B52670" w:rsidRDefault="00782FC6" w:rsidP="00B74310">
            <w:pPr>
              <w:rPr>
                <w:b/>
                <w:bCs/>
                <w:color w:val="000000"/>
              </w:rPr>
            </w:pPr>
            <w:r w:rsidRPr="00B52670">
              <w:rPr>
                <w:b/>
                <w:bCs/>
              </w:rPr>
              <w:t>A400201 Rashodi djelatnosti</w:t>
            </w:r>
            <w:r w:rsidRPr="00B52670">
              <w:rPr>
                <w:b/>
                <w:bCs/>
                <w:color w:val="FF0000"/>
              </w:rPr>
              <w:t xml:space="preserve">  </w:t>
            </w:r>
          </w:p>
        </w:tc>
        <w:tc>
          <w:tcPr>
            <w:tcW w:w="2056" w:type="dxa"/>
            <w:shd w:val="clear" w:color="auto" w:fill="auto"/>
          </w:tcPr>
          <w:p w:rsidR="00782FC6" w:rsidRPr="00B52670" w:rsidRDefault="00D16CF2" w:rsidP="00B74310">
            <w:pPr>
              <w:jc w:val="right"/>
              <w:rPr>
                <w:b/>
                <w:bCs/>
                <w:color w:val="000000"/>
              </w:rPr>
            </w:pPr>
            <w:r>
              <w:rPr>
                <w:b/>
                <w:bCs/>
                <w:color w:val="000000"/>
              </w:rPr>
              <w:t>10.402.903</w:t>
            </w:r>
            <w:r w:rsidR="0073002E">
              <w:rPr>
                <w:b/>
                <w:bCs/>
                <w:color w:val="000000"/>
              </w:rPr>
              <w:t xml:space="preserve"> EUR</w:t>
            </w:r>
          </w:p>
        </w:tc>
      </w:tr>
      <w:tr w:rsidR="00782FC6" w:rsidRPr="00B52670" w:rsidTr="00B74310">
        <w:tc>
          <w:tcPr>
            <w:tcW w:w="1951" w:type="dxa"/>
            <w:shd w:val="clear" w:color="auto" w:fill="auto"/>
          </w:tcPr>
          <w:p w:rsidR="00782FC6" w:rsidRPr="00B52670" w:rsidRDefault="00782FC6" w:rsidP="00B74310">
            <w:pPr>
              <w:rPr>
                <w:b/>
                <w:bCs/>
                <w:color w:val="000000"/>
              </w:rPr>
            </w:pPr>
            <w:r w:rsidRPr="00B52670">
              <w:rPr>
                <w:b/>
                <w:bCs/>
                <w:color w:val="000000"/>
              </w:rPr>
              <w:t>Opis:</w:t>
            </w:r>
          </w:p>
        </w:tc>
        <w:tc>
          <w:tcPr>
            <w:tcW w:w="7337" w:type="dxa"/>
            <w:gridSpan w:val="2"/>
            <w:shd w:val="clear" w:color="auto" w:fill="auto"/>
          </w:tcPr>
          <w:p w:rsidR="00782FC6" w:rsidRDefault="00782FC6" w:rsidP="00B74310">
            <w:pPr>
              <w:rPr>
                <w:bCs/>
                <w:color w:val="000000"/>
              </w:rPr>
            </w:pPr>
            <w:r w:rsidRPr="00B52670">
              <w:rPr>
                <w:bCs/>
                <w:color w:val="000000"/>
              </w:rPr>
              <w:t>U sklopu ove aktivnosti obuhvaćeni su rashodi za zaposlene, materijalni i financijski rashodi poslovanja  po izvorima financiranja.</w:t>
            </w:r>
          </w:p>
          <w:p w:rsidR="00782FC6" w:rsidRPr="00B52670" w:rsidRDefault="00782FC6" w:rsidP="00B74310">
            <w:pPr>
              <w:rPr>
                <w:bCs/>
                <w:color w:val="000000"/>
              </w:rPr>
            </w:pPr>
          </w:p>
          <w:p w:rsidR="00782FC6" w:rsidRPr="00DC0A93" w:rsidRDefault="00782FC6" w:rsidP="00B74310">
            <w:pPr>
              <w:rPr>
                <w:bCs/>
                <w:color w:val="000000"/>
              </w:rPr>
            </w:pPr>
            <w:r>
              <w:rPr>
                <w:bCs/>
                <w:color w:val="000000"/>
              </w:rPr>
              <w:t xml:space="preserve">Iz </w:t>
            </w:r>
            <w:r w:rsidRPr="006902F4">
              <w:rPr>
                <w:bCs/>
                <w:i/>
                <w:color w:val="000000"/>
                <w:u w:val="single"/>
              </w:rPr>
              <w:t>prihoda za posebne namjene</w:t>
            </w:r>
            <w:r>
              <w:rPr>
                <w:bCs/>
                <w:color w:val="000000"/>
              </w:rPr>
              <w:t xml:space="preserve"> podmiruje se</w:t>
            </w:r>
            <w:r w:rsidRPr="00B52670">
              <w:rPr>
                <w:bCs/>
                <w:color w:val="000000"/>
              </w:rPr>
              <w:t xml:space="preserve"> dio</w:t>
            </w:r>
            <w:r>
              <w:rPr>
                <w:bCs/>
                <w:color w:val="000000"/>
              </w:rPr>
              <w:t xml:space="preserve"> troškova</w:t>
            </w:r>
            <w:r w:rsidRPr="00B52670">
              <w:rPr>
                <w:bCs/>
                <w:color w:val="000000"/>
              </w:rPr>
              <w:t xml:space="preserve"> </w:t>
            </w:r>
            <w:r w:rsidRPr="006902F4">
              <w:rPr>
                <w:b/>
                <w:bCs/>
                <w:color w:val="000000"/>
              </w:rPr>
              <w:t>bruto plaća</w:t>
            </w:r>
            <w:r>
              <w:rPr>
                <w:b/>
                <w:bCs/>
                <w:color w:val="000000"/>
              </w:rPr>
              <w:t>,</w:t>
            </w:r>
            <w:r w:rsidRPr="00B52670">
              <w:rPr>
                <w:bCs/>
                <w:color w:val="000000"/>
              </w:rPr>
              <w:t xml:space="preserve"> u iznosu od</w:t>
            </w:r>
            <w:r>
              <w:rPr>
                <w:bCs/>
                <w:color w:val="000000"/>
              </w:rPr>
              <w:t xml:space="preserve"> </w:t>
            </w:r>
            <w:r w:rsidR="00212675" w:rsidRPr="00212675">
              <w:rPr>
                <w:b/>
                <w:bCs/>
                <w:color w:val="000000"/>
              </w:rPr>
              <w:t>3.493.634</w:t>
            </w:r>
            <w:r w:rsidR="0073002E" w:rsidRPr="00212675">
              <w:rPr>
                <w:b/>
                <w:bCs/>
                <w:color w:val="000000"/>
              </w:rPr>
              <w:t xml:space="preserve"> </w:t>
            </w:r>
            <w:r w:rsidR="0073002E" w:rsidRPr="00212675">
              <w:rPr>
                <w:bCs/>
                <w:color w:val="000000"/>
              </w:rPr>
              <w:t>EUR</w:t>
            </w:r>
            <w:r w:rsidR="00212675" w:rsidRPr="00212675">
              <w:rPr>
                <w:bCs/>
                <w:color w:val="000000"/>
              </w:rPr>
              <w:t>-a</w:t>
            </w:r>
            <w:r w:rsidR="00212675">
              <w:rPr>
                <w:bCs/>
                <w:color w:val="000000"/>
              </w:rPr>
              <w:t>.</w:t>
            </w:r>
          </w:p>
          <w:p w:rsidR="00782FC6" w:rsidRPr="007763F5" w:rsidRDefault="00782FC6" w:rsidP="00B74310">
            <w:pPr>
              <w:rPr>
                <w:b/>
                <w:bCs/>
                <w:color w:val="000000"/>
              </w:rPr>
            </w:pPr>
          </w:p>
          <w:p w:rsidR="00782FC6" w:rsidRDefault="00782FC6" w:rsidP="00B74310">
            <w:pPr>
              <w:rPr>
                <w:bCs/>
                <w:color w:val="000000"/>
              </w:rPr>
            </w:pPr>
            <w:r w:rsidRPr="00B52670">
              <w:rPr>
                <w:bCs/>
                <w:color w:val="000000"/>
              </w:rPr>
              <w:t>Iz</w:t>
            </w:r>
            <w:r>
              <w:rPr>
                <w:bCs/>
                <w:color w:val="000000"/>
              </w:rPr>
              <w:t xml:space="preserve"> </w:t>
            </w:r>
            <w:r w:rsidRPr="000E61FB">
              <w:rPr>
                <w:bCs/>
                <w:i/>
                <w:color w:val="000000"/>
                <w:u w:val="single"/>
              </w:rPr>
              <w:t>vlastitih prihoda</w:t>
            </w:r>
            <w:r>
              <w:rPr>
                <w:bCs/>
                <w:color w:val="000000"/>
              </w:rPr>
              <w:t xml:space="preserve">  planirano je </w:t>
            </w:r>
            <w:r w:rsidRPr="00B52670">
              <w:rPr>
                <w:bCs/>
                <w:color w:val="000000"/>
              </w:rPr>
              <w:t xml:space="preserve"> </w:t>
            </w:r>
            <w:r>
              <w:rPr>
                <w:bCs/>
                <w:color w:val="000000"/>
              </w:rPr>
              <w:t>podmiriti slijedeće troškove:</w:t>
            </w:r>
          </w:p>
          <w:p w:rsidR="00782FC6" w:rsidRPr="00B52670" w:rsidRDefault="00782FC6" w:rsidP="00B74310">
            <w:pPr>
              <w:rPr>
                <w:bCs/>
                <w:color w:val="000000"/>
              </w:rPr>
            </w:pPr>
          </w:p>
          <w:p w:rsidR="00782FC6" w:rsidRPr="0073002E" w:rsidRDefault="00782FC6" w:rsidP="000262D5">
            <w:pPr>
              <w:numPr>
                <w:ilvl w:val="0"/>
                <w:numId w:val="10"/>
              </w:numPr>
              <w:suppressAutoHyphens w:val="0"/>
              <w:rPr>
                <w:bCs/>
                <w:color w:val="000000"/>
              </w:rPr>
            </w:pPr>
            <w:r w:rsidRPr="0073002E">
              <w:rPr>
                <w:bCs/>
                <w:color w:val="000000"/>
                <w:u w:val="single"/>
              </w:rPr>
              <w:t xml:space="preserve">dio rashoda za zaposlene u iznosu od </w:t>
            </w:r>
            <w:r w:rsidR="00212675" w:rsidRPr="00212675">
              <w:rPr>
                <w:b/>
                <w:bCs/>
                <w:color w:val="000000"/>
                <w:u w:val="single"/>
              </w:rPr>
              <w:t>1.362.979</w:t>
            </w:r>
            <w:r w:rsidR="0073002E" w:rsidRPr="00212675">
              <w:rPr>
                <w:b/>
                <w:bCs/>
                <w:color w:val="000000"/>
                <w:u w:val="single"/>
              </w:rPr>
              <w:t xml:space="preserve"> </w:t>
            </w:r>
            <w:r w:rsidR="0073002E" w:rsidRPr="00212675">
              <w:rPr>
                <w:bCs/>
                <w:color w:val="000000"/>
                <w:u w:val="single"/>
              </w:rPr>
              <w:t>EUR</w:t>
            </w:r>
            <w:r w:rsidR="00212675">
              <w:rPr>
                <w:bCs/>
                <w:color w:val="000000"/>
              </w:rPr>
              <w:t>-a</w:t>
            </w:r>
            <w:r w:rsidRPr="0073002E">
              <w:rPr>
                <w:bCs/>
                <w:color w:val="000000"/>
              </w:rPr>
              <w:t>. Pl</w:t>
            </w:r>
            <w:r w:rsidR="00212675">
              <w:rPr>
                <w:bCs/>
                <w:color w:val="000000"/>
              </w:rPr>
              <w:t>anom predviđeni troškovi za 2024</w:t>
            </w:r>
            <w:r w:rsidRPr="0073002E">
              <w:rPr>
                <w:bCs/>
                <w:color w:val="000000"/>
              </w:rPr>
              <w:t>. uključuju sva davanja prema zaposlenicima prema kolektivnom ugovoru,  uključuje prigodnu nagradu – naknad</w:t>
            </w:r>
            <w:r w:rsidR="00212675">
              <w:rPr>
                <w:bCs/>
                <w:color w:val="000000"/>
              </w:rPr>
              <w:t>u za godišnji odmor, Božićnicu,</w:t>
            </w:r>
            <w:r w:rsidRPr="0073002E">
              <w:rPr>
                <w:bCs/>
                <w:color w:val="000000"/>
              </w:rPr>
              <w:t xml:space="preserve"> dar za djecu</w:t>
            </w:r>
            <w:r w:rsidR="00212675">
              <w:rPr>
                <w:bCs/>
                <w:color w:val="000000"/>
              </w:rPr>
              <w:t xml:space="preserve">, i ostale naknade na koje zaposlenici ostvaruju prava ( naknada za smrtni slučaj, naknada za bolovanje duže od 90 dana, naknada za novorođenče ) </w:t>
            </w:r>
            <w:r w:rsidRPr="0073002E">
              <w:rPr>
                <w:bCs/>
                <w:color w:val="000000"/>
              </w:rPr>
              <w:t xml:space="preserve">. </w:t>
            </w:r>
          </w:p>
          <w:p w:rsidR="00782FC6" w:rsidRPr="00C64C5D" w:rsidRDefault="00782FC6" w:rsidP="00782FC6">
            <w:pPr>
              <w:numPr>
                <w:ilvl w:val="0"/>
                <w:numId w:val="10"/>
              </w:numPr>
              <w:suppressAutoHyphens w:val="0"/>
              <w:rPr>
                <w:bCs/>
                <w:color w:val="000000"/>
              </w:rPr>
            </w:pPr>
            <w:r>
              <w:rPr>
                <w:bCs/>
                <w:color w:val="000000"/>
                <w:u w:val="single"/>
              </w:rPr>
              <w:t xml:space="preserve">materijalne rashode u iznosu od </w:t>
            </w:r>
            <w:r w:rsidR="00072FD5" w:rsidRPr="00072FD5">
              <w:rPr>
                <w:b/>
                <w:bCs/>
                <w:color w:val="000000"/>
                <w:u w:val="single"/>
              </w:rPr>
              <w:t>2.572.656</w:t>
            </w:r>
            <w:r w:rsidR="0073002E">
              <w:rPr>
                <w:bCs/>
                <w:color w:val="000000"/>
                <w:u w:val="single"/>
              </w:rPr>
              <w:t xml:space="preserve"> EUR</w:t>
            </w:r>
            <w:r w:rsidR="00072FD5">
              <w:rPr>
                <w:bCs/>
                <w:color w:val="000000"/>
              </w:rPr>
              <w:t>-a.</w:t>
            </w:r>
            <w:r w:rsidRPr="00C64C5D">
              <w:rPr>
                <w:bCs/>
                <w:color w:val="000000"/>
              </w:rPr>
              <w:t xml:space="preserve">  </w:t>
            </w:r>
          </w:p>
          <w:p w:rsidR="00782FC6" w:rsidRPr="009C697E" w:rsidRDefault="00782FC6" w:rsidP="00B74310">
            <w:pPr>
              <w:suppressAutoHyphens w:val="0"/>
              <w:rPr>
                <w:bCs/>
                <w:color w:val="000000"/>
              </w:rPr>
            </w:pPr>
          </w:p>
          <w:p w:rsidR="00782FC6" w:rsidRPr="00E265F8" w:rsidRDefault="00782FC6" w:rsidP="00782FC6">
            <w:pPr>
              <w:numPr>
                <w:ilvl w:val="0"/>
                <w:numId w:val="10"/>
              </w:numPr>
              <w:suppressAutoHyphens w:val="0"/>
              <w:rPr>
                <w:bCs/>
                <w:color w:val="000000"/>
                <w:u w:val="single"/>
              </w:rPr>
            </w:pPr>
            <w:r w:rsidRPr="00E265F8">
              <w:rPr>
                <w:bCs/>
                <w:color w:val="000000"/>
                <w:u w:val="single"/>
              </w:rPr>
              <w:t xml:space="preserve">financijske rashode  u iznosu od </w:t>
            </w:r>
            <w:r w:rsidR="00072FD5" w:rsidRPr="00072FD5">
              <w:rPr>
                <w:b/>
                <w:bCs/>
                <w:color w:val="000000"/>
                <w:u w:val="single"/>
              </w:rPr>
              <w:t>40.910</w:t>
            </w:r>
            <w:r w:rsidR="0073002E">
              <w:rPr>
                <w:bCs/>
                <w:color w:val="000000"/>
                <w:u w:val="single"/>
              </w:rPr>
              <w:t xml:space="preserve"> EUR</w:t>
            </w:r>
            <w:r w:rsidR="00072FD5">
              <w:rPr>
                <w:bCs/>
                <w:color w:val="000000"/>
                <w:u w:val="single"/>
              </w:rPr>
              <w:t>-a</w:t>
            </w:r>
            <w:r w:rsidRPr="00E265F8">
              <w:rPr>
                <w:bCs/>
                <w:color w:val="000000"/>
                <w:u w:val="single"/>
              </w:rPr>
              <w:t>.</w:t>
            </w:r>
            <w:r>
              <w:rPr>
                <w:bCs/>
                <w:color w:val="000000"/>
                <w:u w:val="single"/>
              </w:rPr>
              <w:t xml:space="preserve"> </w:t>
            </w:r>
            <w:r w:rsidRPr="00E265F8">
              <w:rPr>
                <w:bCs/>
                <w:color w:val="000000"/>
                <w:u w:val="single"/>
              </w:rPr>
              <w:t xml:space="preserve"> </w:t>
            </w:r>
          </w:p>
          <w:p w:rsidR="00782FC6" w:rsidRPr="00E265F8" w:rsidRDefault="00782FC6" w:rsidP="00B74310">
            <w:pPr>
              <w:suppressAutoHyphens w:val="0"/>
              <w:rPr>
                <w:bCs/>
                <w:color w:val="000000"/>
                <w:u w:val="single"/>
              </w:rPr>
            </w:pPr>
          </w:p>
          <w:p w:rsidR="00782FC6" w:rsidRPr="00D56E03" w:rsidRDefault="00782FC6" w:rsidP="00D56E03">
            <w:pPr>
              <w:numPr>
                <w:ilvl w:val="0"/>
                <w:numId w:val="10"/>
              </w:numPr>
              <w:suppressAutoHyphens w:val="0"/>
              <w:rPr>
                <w:bCs/>
                <w:color w:val="000000"/>
                <w:u w:val="single"/>
              </w:rPr>
            </w:pPr>
            <w:r>
              <w:rPr>
                <w:bCs/>
                <w:color w:val="000000"/>
                <w:u w:val="single"/>
              </w:rPr>
              <w:t xml:space="preserve">dio rashoda za nabavu nefinancijske imovine </w:t>
            </w:r>
            <w:r w:rsidR="00072FD5">
              <w:rPr>
                <w:bCs/>
                <w:color w:val="000000"/>
              </w:rPr>
              <w:t xml:space="preserve"> u iznosu od </w:t>
            </w:r>
            <w:r w:rsidR="00072FD5" w:rsidRPr="00072FD5">
              <w:rPr>
                <w:b/>
                <w:bCs/>
                <w:color w:val="000000"/>
              </w:rPr>
              <w:t>1.849.989</w:t>
            </w:r>
            <w:r w:rsidR="0073002E">
              <w:rPr>
                <w:bCs/>
                <w:color w:val="000000"/>
              </w:rPr>
              <w:t xml:space="preserve"> EUR</w:t>
            </w:r>
            <w:r w:rsidR="00072FD5">
              <w:rPr>
                <w:bCs/>
                <w:color w:val="000000"/>
              </w:rPr>
              <w:t>-a</w:t>
            </w:r>
            <w:r w:rsidR="00D56E03">
              <w:rPr>
                <w:bCs/>
                <w:color w:val="000000"/>
              </w:rPr>
              <w:t xml:space="preserve">. Iz vlastitih prihoda </w:t>
            </w:r>
            <w:r>
              <w:rPr>
                <w:bCs/>
                <w:color w:val="000000"/>
              </w:rPr>
              <w:t>potrebno je podmiriti troškove nabavke opreme neophodne za nesmetano obavljanje djelatno</w:t>
            </w:r>
            <w:r w:rsidR="0073002E">
              <w:rPr>
                <w:bCs/>
                <w:color w:val="000000"/>
              </w:rPr>
              <w:t>sti</w:t>
            </w:r>
            <w:r w:rsidR="00F37E7D">
              <w:rPr>
                <w:bCs/>
                <w:color w:val="000000"/>
              </w:rPr>
              <w:t xml:space="preserve"> ( opremu i strojeve za</w:t>
            </w:r>
            <w:r w:rsidR="00D56E03">
              <w:rPr>
                <w:bCs/>
                <w:color w:val="000000"/>
              </w:rPr>
              <w:t xml:space="preserve"> održavanje čistoće unutarnjih i vanjskih prostora ustanove</w:t>
            </w:r>
            <w:r w:rsidR="00F37E7D">
              <w:rPr>
                <w:bCs/>
                <w:color w:val="000000"/>
              </w:rPr>
              <w:t>, aparate</w:t>
            </w:r>
            <w:r w:rsidR="00D56E03">
              <w:rPr>
                <w:bCs/>
                <w:color w:val="000000"/>
              </w:rPr>
              <w:t xml:space="preserve"> i</w:t>
            </w:r>
            <w:r w:rsidR="00F37E7D">
              <w:rPr>
                <w:bCs/>
                <w:color w:val="000000"/>
              </w:rPr>
              <w:t xml:space="preserve"> uređaje</w:t>
            </w:r>
            <w:r w:rsidR="00D56E03">
              <w:rPr>
                <w:bCs/>
                <w:color w:val="000000"/>
              </w:rPr>
              <w:t xml:space="preserve"> u kuhinjama hotela </w:t>
            </w:r>
            <w:proofErr w:type="spellStart"/>
            <w:r w:rsidR="00D56E03">
              <w:rPr>
                <w:bCs/>
                <w:color w:val="000000"/>
              </w:rPr>
              <w:t>Termal</w:t>
            </w:r>
            <w:proofErr w:type="spellEnd"/>
            <w:r w:rsidR="00D56E03">
              <w:rPr>
                <w:bCs/>
                <w:color w:val="000000"/>
              </w:rPr>
              <w:t xml:space="preserve"> i restorana Terasa</w:t>
            </w:r>
            <w:r w:rsidR="00C2337F">
              <w:rPr>
                <w:bCs/>
                <w:color w:val="000000"/>
              </w:rPr>
              <w:t>,</w:t>
            </w:r>
            <w:r w:rsidR="00D56E03">
              <w:rPr>
                <w:bCs/>
                <w:color w:val="000000"/>
              </w:rPr>
              <w:t xml:space="preserve"> radne strojeve i potrebne priključke za održavanje parka, kupnja novog servera, nadogradnja video nadzora), </w:t>
            </w:r>
            <w:r w:rsidRPr="00D56E03">
              <w:rPr>
                <w:bCs/>
                <w:color w:val="000000"/>
              </w:rPr>
              <w:t>izdvojiti za dodatna ulaganja na gr</w:t>
            </w:r>
            <w:r w:rsidR="00C2337F" w:rsidRPr="00D56E03">
              <w:rPr>
                <w:bCs/>
                <w:color w:val="000000"/>
              </w:rPr>
              <w:t xml:space="preserve">ađevinskim objektima za investicije koje će dijelom biti sufinancirane iz drugih izvora a za koje će biti potrebno još izdvojiti vlastita sredstva. Uređenje Antunovog izvora, </w:t>
            </w:r>
            <w:r w:rsidR="00D56E03">
              <w:rPr>
                <w:bCs/>
                <w:color w:val="000000"/>
              </w:rPr>
              <w:t>sanacija nogostupa u Julijevom parku –faza 2., zamjena cjevovoda potrošne geotermalne vode za potrebe terapija, unutarnje uređ</w:t>
            </w:r>
            <w:r w:rsidR="008067B7">
              <w:rPr>
                <w:bCs/>
                <w:color w:val="000000"/>
              </w:rPr>
              <w:t>e</w:t>
            </w:r>
            <w:r w:rsidR="00D56E03">
              <w:rPr>
                <w:bCs/>
                <w:color w:val="000000"/>
              </w:rPr>
              <w:t>nje</w:t>
            </w:r>
            <w:r w:rsidR="008067B7">
              <w:rPr>
                <w:bCs/>
                <w:color w:val="000000"/>
              </w:rPr>
              <w:t xml:space="preserve"> prostora </w:t>
            </w:r>
            <w:proofErr w:type="spellStart"/>
            <w:r w:rsidR="008067B7">
              <w:rPr>
                <w:bCs/>
                <w:color w:val="000000"/>
              </w:rPr>
              <w:t>Arcadie</w:t>
            </w:r>
            <w:proofErr w:type="spellEnd"/>
            <w:r w:rsidR="008067B7">
              <w:rPr>
                <w:bCs/>
                <w:color w:val="000000"/>
              </w:rPr>
              <w:t xml:space="preserve"> sa ugradnjom </w:t>
            </w:r>
            <w:r w:rsidR="007B5104">
              <w:rPr>
                <w:bCs/>
                <w:color w:val="000000"/>
              </w:rPr>
              <w:t xml:space="preserve">lifta te izgradnja novih soba u prostoru šinobusa i Ivanovog doma. </w:t>
            </w:r>
          </w:p>
          <w:p w:rsidR="00782FC6" w:rsidRPr="00983CA7" w:rsidRDefault="00782FC6" w:rsidP="00B74310">
            <w:pPr>
              <w:suppressAutoHyphens w:val="0"/>
              <w:rPr>
                <w:bCs/>
                <w:color w:val="000000"/>
                <w:u w:val="single"/>
              </w:rPr>
            </w:pPr>
          </w:p>
          <w:p w:rsidR="00782FC6" w:rsidRDefault="00782FC6" w:rsidP="00B74310">
            <w:pPr>
              <w:jc w:val="both"/>
              <w:rPr>
                <w:bCs/>
                <w:color w:val="000000"/>
              </w:rPr>
            </w:pPr>
            <w:r w:rsidRPr="00B2520A">
              <w:rPr>
                <w:bCs/>
                <w:i/>
                <w:color w:val="000000"/>
                <w:u w:val="single"/>
              </w:rPr>
              <w:t>Pomoći</w:t>
            </w:r>
            <w:r>
              <w:rPr>
                <w:bCs/>
                <w:color w:val="000000"/>
              </w:rPr>
              <w:t xml:space="preserve"> su namijenjene za pokriće troškova investicija za koje će ustanova  aplicirati.</w:t>
            </w:r>
          </w:p>
          <w:p w:rsidR="00782FC6" w:rsidRDefault="00782FC6" w:rsidP="00B74310">
            <w:pPr>
              <w:jc w:val="both"/>
              <w:rPr>
                <w:bCs/>
                <w:color w:val="000000"/>
              </w:rPr>
            </w:pPr>
          </w:p>
          <w:p w:rsidR="00782FC6" w:rsidRPr="00B52670" w:rsidRDefault="00782FC6" w:rsidP="00B74310">
            <w:pPr>
              <w:jc w:val="both"/>
              <w:rPr>
                <w:bCs/>
                <w:color w:val="000000"/>
              </w:rPr>
            </w:pPr>
            <w:r w:rsidRPr="00B2520A">
              <w:rPr>
                <w:bCs/>
                <w:i/>
                <w:color w:val="000000"/>
                <w:u w:val="single"/>
              </w:rPr>
              <w:t xml:space="preserve">Prihodima od prodaje nefinancijske imovine i nadoknade šteta s osnova osiguranja   </w:t>
            </w:r>
            <w:r>
              <w:rPr>
                <w:bCs/>
                <w:color w:val="000000"/>
              </w:rPr>
              <w:t xml:space="preserve"> podmirit će se dio troš</w:t>
            </w:r>
            <w:r w:rsidR="000C53D7">
              <w:rPr>
                <w:bCs/>
                <w:color w:val="000000"/>
              </w:rPr>
              <w:t>kova nabavke potrebne opreme i aparata.</w:t>
            </w:r>
            <w:r>
              <w:rPr>
                <w:bCs/>
                <w:color w:val="000000"/>
              </w:rPr>
              <w:t xml:space="preserve">       </w:t>
            </w:r>
          </w:p>
        </w:tc>
      </w:tr>
    </w:tbl>
    <w:p w:rsidR="00F16253" w:rsidRPr="00F80D9B" w:rsidRDefault="00F16253" w:rsidP="00B6734D">
      <w:pPr>
        <w:rPr>
          <w:rFonts w:ascii="Arial" w:hAnsi="Arial" w:cs="Arial"/>
          <w:sz w:val="22"/>
          <w:szCs w:val="22"/>
        </w:rPr>
      </w:pPr>
      <w:bookmarkStart w:id="0" w:name="_GoBack"/>
      <w:bookmarkEnd w:id="0"/>
    </w:p>
    <w:sectPr w:rsidR="00F16253" w:rsidRPr="00F80D9B" w:rsidSect="001249CB">
      <w:headerReference w:type="default" r:id="rId8"/>
      <w:footerReference w:type="default" r:id="rId9"/>
      <w:pgSz w:w="11906" w:h="16838"/>
      <w:pgMar w:top="1417" w:right="1417" w:bottom="1417" w:left="1417" w:header="39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ADB" w:rsidRDefault="007A1ADB" w:rsidP="00CA5B69">
      <w:r>
        <w:separator/>
      </w:r>
    </w:p>
  </w:endnote>
  <w:endnote w:type="continuationSeparator" w:id="0">
    <w:p w:rsidR="007A1ADB" w:rsidRDefault="007A1ADB" w:rsidP="00CA5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DDF" w:rsidRPr="00257686" w:rsidRDefault="009C5B7F" w:rsidP="00434DDF">
    <w:pPr>
      <w:pStyle w:val="Podnoje"/>
      <w:ind w:firstLine="1416"/>
      <w:rPr>
        <w:color w:val="0070C0"/>
        <w:sz w:val="16"/>
        <w:szCs w:val="16"/>
      </w:rPr>
    </w:pPr>
    <w:r w:rsidRPr="008A358E">
      <w:rPr>
        <w:noProof/>
        <w:sz w:val="16"/>
        <w:szCs w:val="16"/>
        <w:lang w:eastAsia="hr-HR"/>
      </w:rPr>
      <w:drawing>
        <wp:anchor distT="0" distB="0" distL="114300" distR="114300" simplePos="0" relativeHeight="251662848" behindDoc="1" locked="0" layoutInCell="1" allowOverlap="1">
          <wp:simplePos x="0" y="0"/>
          <wp:positionH relativeFrom="column">
            <wp:posOffset>-523875</wp:posOffset>
          </wp:positionH>
          <wp:positionV relativeFrom="paragraph">
            <wp:posOffset>-56617</wp:posOffset>
          </wp:positionV>
          <wp:extent cx="1009767" cy="1245550"/>
          <wp:effectExtent l="0" t="0" r="0" b="0"/>
          <wp:wrapNone/>
          <wp:docPr id="6" name="Slika 6" descr="C:\Users\cipan\Desktop\memorandum 2022\HO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ipan\Desktop\memorandum 2022\HOO.jp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009767" cy="1245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49CB" w:rsidRPr="002979B8">
      <w:rPr>
        <w:noProof/>
        <w:color w:val="0070C0"/>
        <w:sz w:val="16"/>
        <w:szCs w:val="16"/>
        <w:lang w:eastAsia="hr-HR"/>
      </w:rPr>
      <w:drawing>
        <wp:anchor distT="0" distB="0" distL="114300" distR="114300" simplePos="0" relativeHeight="251660800" behindDoc="1" locked="0" layoutInCell="1" allowOverlap="1">
          <wp:simplePos x="0" y="0"/>
          <wp:positionH relativeFrom="column">
            <wp:posOffset>5422468</wp:posOffset>
          </wp:positionH>
          <wp:positionV relativeFrom="paragraph">
            <wp:posOffset>30090</wp:posOffset>
          </wp:positionV>
          <wp:extent cx="616913" cy="616913"/>
          <wp:effectExtent l="0" t="0" r="0" b="0"/>
          <wp:wrapNone/>
          <wp:docPr id="2" name="Slika 2" descr="C:\Users\cipan\Downloads\sustainable-terme-240x2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ipan\Downloads\sustainable-terme-240x240.png"/>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616913" cy="616913"/>
                  </a:xfrm>
                  <a:prstGeom prst="rect">
                    <a:avLst/>
                  </a:prstGeom>
                  <a:noFill/>
                  <a:ln>
                    <a:noFill/>
                  </a:ln>
                </pic:spPr>
              </pic:pic>
            </a:graphicData>
          </a:graphic>
          <wp14:sizeRelH relativeFrom="page">
            <wp14:pctWidth>0</wp14:pctWidth>
          </wp14:sizeRelH>
          <wp14:sizeRelV relativeFrom="page">
            <wp14:pctHeight>0</wp14:pctHeight>
          </wp14:sizeRelV>
        </wp:anchor>
      </w:drawing>
    </w:r>
    <w:r w:rsidR="001249CB" w:rsidRPr="008A358E">
      <w:rPr>
        <w:noProof/>
        <w:color w:val="0070C0"/>
        <w:sz w:val="16"/>
        <w:szCs w:val="16"/>
        <w:lang w:eastAsia="hr-HR"/>
      </w:rPr>
      <w:drawing>
        <wp:anchor distT="0" distB="0" distL="114300" distR="114300" simplePos="0" relativeHeight="251661824" behindDoc="1" locked="0" layoutInCell="1" allowOverlap="1">
          <wp:simplePos x="0" y="0"/>
          <wp:positionH relativeFrom="column">
            <wp:posOffset>4680581</wp:posOffset>
          </wp:positionH>
          <wp:positionV relativeFrom="paragraph">
            <wp:posOffset>1270</wp:posOffset>
          </wp:positionV>
          <wp:extent cx="656376" cy="665246"/>
          <wp:effectExtent l="0" t="0" r="0" b="1905"/>
          <wp:wrapNone/>
          <wp:docPr id="5" name="Slika 5" descr="C:\Users\cipan\Desktop\memorandum 2022\sveučiliše u rije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ipan\Desktop\memorandum 2022\sveučiliše u rijeci.jpg"/>
                  <pic:cNvPicPr>
                    <a:picLocks noChangeAspect="1" noChangeArrowheads="1"/>
                  </pic:cNvPicPr>
                </pic:nvPicPr>
                <pic:blipFill>
                  <a:blip r:embed="rId3">
                    <a:extLst>
                      <a:ext uri="{28A0092B-C50C-407E-A947-70E740481C1C}">
                        <a14:useLocalDpi xmlns:a14="http://schemas.microsoft.com/office/drawing/2010/main"/>
                      </a:ext>
                    </a:extLst>
                  </a:blip>
                  <a:srcRect/>
                  <a:stretch>
                    <a:fillRect/>
                  </a:stretch>
                </pic:blipFill>
                <pic:spPr bwMode="auto">
                  <a:xfrm>
                    <a:off x="0" y="0"/>
                    <a:ext cx="656376" cy="6652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7FBB">
      <w:rPr>
        <w:color w:val="0070C0"/>
        <w:sz w:val="16"/>
        <w:szCs w:val="16"/>
      </w:rPr>
      <w:t xml:space="preserve"> </w:t>
    </w:r>
    <w:r w:rsidR="00434DDF" w:rsidRPr="00257686">
      <w:rPr>
        <w:color w:val="0070C0"/>
        <w:sz w:val="16"/>
        <w:szCs w:val="16"/>
      </w:rPr>
      <w:t>Julijev park 1,  43500 Daruvar,  H</w:t>
    </w:r>
    <w:r w:rsidR="00434DDF">
      <w:rPr>
        <w:color w:val="0070C0"/>
        <w:sz w:val="16"/>
        <w:szCs w:val="16"/>
      </w:rPr>
      <w:t>rvatska</w:t>
    </w:r>
    <w:r w:rsidR="00434DDF" w:rsidRPr="00257686">
      <w:rPr>
        <w:color w:val="0070C0"/>
        <w:sz w:val="16"/>
        <w:szCs w:val="16"/>
      </w:rPr>
      <w:t xml:space="preserve">, OIB: 01054174667, MB: 3183106 </w:t>
    </w:r>
  </w:p>
  <w:p w:rsidR="00434DDF" w:rsidRPr="008A358E" w:rsidRDefault="00434DDF" w:rsidP="00434DDF">
    <w:pPr>
      <w:pStyle w:val="Podnoje"/>
      <w:ind w:left="1416"/>
      <w:rPr>
        <w:color w:val="0070C0"/>
        <w:sz w:val="16"/>
        <w:szCs w:val="16"/>
      </w:rPr>
    </w:pPr>
    <w:r>
      <w:rPr>
        <w:color w:val="0070C0"/>
        <w:sz w:val="16"/>
        <w:szCs w:val="16"/>
      </w:rPr>
      <w:t xml:space="preserve"> </w:t>
    </w:r>
    <w:r w:rsidRPr="00257686">
      <w:rPr>
        <w:color w:val="0070C0"/>
        <w:sz w:val="16"/>
        <w:szCs w:val="16"/>
      </w:rPr>
      <w:t>IBAN: HR2323400091100098446, Ustanova je upisana u sudski  registar</w:t>
    </w:r>
    <w:r>
      <w:rPr>
        <w:color w:val="0070C0"/>
        <w:sz w:val="16"/>
        <w:szCs w:val="16"/>
      </w:rPr>
      <w:br/>
      <w:t xml:space="preserve"> </w:t>
    </w:r>
    <w:r w:rsidRPr="008A358E">
      <w:rPr>
        <w:color w:val="0070C0"/>
        <w:sz w:val="16"/>
        <w:szCs w:val="16"/>
      </w:rPr>
      <w:t>Trgovačkog suda u Bjelovaru, MBS: 010032201 , Ravnatelj:</w:t>
    </w:r>
  </w:p>
  <w:p w:rsidR="00434DDF" w:rsidRPr="008A358E" w:rsidRDefault="00434DDF" w:rsidP="00434DDF">
    <w:pPr>
      <w:pStyle w:val="Podnoje"/>
      <w:ind w:left="708"/>
      <w:rPr>
        <w:color w:val="0070C0"/>
        <w:sz w:val="16"/>
        <w:szCs w:val="16"/>
      </w:rPr>
    </w:pPr>
    <w:r w:rsidRPr="008A358E">
      <w:rPr>
        <w:color w:val="0070C0"/>
        <w:sz w:val="16"/>
        <w:szCs w:val="16"/>
      </w:rPr>
      <w:t xml:space="preserve">                   </w:t>
    </w:r>
    <w:r w:rsidR="008A358E">
      <w:rPr>
        <w:color w:val="0070C0"/>
        <w:sz w:val="16"/>
        <w:szCs w:val="16"/>
      </w:rPr>
      <w:t xml:space="preserve"> </w:t>
    </w:r>
    <w:r w:rsidRPr="008A358E">
      <w:rPr>
        <w:color w:val="0070C0"/>
        <w:sz w:val="16"/>
        <w:szCs w:val="16"/>
      </w:rPr>
      <w:t xml:space="preserve"> Ratko Vuković, </w:t>
    </w:r>
    <w:proofErr w:type="spellStart"/>
    <w:r w:rsidRPr="008A358E">
      <w:rPr>
        <w:color w:val="0070C0"/>
        <w:sz w:val="16"/>
        <w:szCs w:val="16"/>
      </w:rPr>
      <w:t>univ</w:t>
    </w:r>
    <w:proofErr w:type="spellEnd"/>
    <w:r w:rsidRPr="008A358E">
      <w:rPr>
        <w:color w:val="0070C0"/>
        <w:sz w:val="16"/>
        <w:szCs w:val="16"/>
      </w:rPr>
      <w:t xml:space="preserve">. </w:t>
    </w:r>
    <w:proofErr w:type="spellStart"/>
    <w:r w:rsidRPr="008A358E">
      <w:rPr>
        <w:color w:val="0070C0"/>
        <w:sz w:val="16"/>
        <w:szCs w:val="16"/>
      </w:rPr>
      <w:t>spec</w:t>
    </w:r>
    <w:proofErr w:type="spellEnd"/>
    <w:r w:rsidRPr="008A358E">
      <w:rPr>
        <w:color w:val="0070C0"/>
        <w:sz w:val="16"/>
        <w:szCs w:val="16"/>
      </w:rPr>
      <w:t xml:space="preserve">. </w:t>
    </w:r>
    <w:proofErr w:type="spellStart"/>
    <w:r w:rsidRPr="008A358E">
      <w:rPr>
        <w:color w:val="0070C0"/>
        <w:sz w:val="16"/>
        <w:szCs w:val="16"/>
      </w:rPr>
      <w:t>oec</w:t>
    </w:r>
    <w:proofErr w:type="spellEnd"/>
    <w:r w:rsidRPr="008A358E">
      <w:rPr>
        <w:color w:val="0070C0"/>
        <w:sz w:val="16"/>
        <w:szCs w:val="16"/>
      </w:rPr>
      <w:t>, Tel. 043 623 100, Fax. 043 331 956</w:t>
    </w:r>
  </w:p>
  <w:p w:rsidR="00434DDF" w:rsidRPr="008A358E" w:rsidRDefault="008A358E" w:rsidP="008A358E">
    <w:pPr>
      <w:rPr>
        <w:rFonts w:asciiTheme="minorHAnsi" w:hAnsiTheme="minorHAnsi" w:cstheme="minorHAnsi"/>
        <w:color w:val="0070C0"/>
        <w:sz w:val="16"/>
        <w:szCs w:val="16"/>
      </w:rPr>
    </w:pPr>
    <w:r w:rsidRPr="008A358E">
      <w:rPr>
        <w:rFonts w:asciiTheme="minorHAnsi" w:hAnsiTheme="minorHAnsi" w:cstheme="minorHAnsi"/>
        <w:noProof/>
        <w:color w:val="0070C0"/>
        <w:sz w:val="16"/>
        <w:szCs w:val="16"/>
        <w:lang w:eastAsia="hr-HR"/>
      </w:rPr>
      <w:drawing>
        <wp:anchor distT="0" distB="0" distL="114300" distR="114300" simplePos="0" relativeHeight="251657728" behindDoc="1" locked="0" layoutInCell="1" allowOverlap="1">
          <wp:simplePos x="0" y="0"/>
          <wp:positionH relativeFrom="page">
            <wp:posOffset>5468939</wp:posOffset>
          </wp:positionH>
          <wp:positionV relativeFrom="paragraph">
            <wp:posOffset>71537</wp:posOffset>
          </wp:positionV>
          <wp:extent cx="1599013" cy="757057"/>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clrChange>
                      <a:clrFrom>
                        <a:srgbClr val="FFFFFF"/>
                      </a:clrFrom>
                      <a:clrTo>
                        <a:srgbClr val="FFFFFF">
                          <a:alpha val="0"/>
                        </a:srgbClr>
                      </a:clrTo>
                    </a:clrChange>
                    <a:lum contrast="12000"/>
                    <a:extLst>
                      <a:ext uri="{28A0092B-C50C-407E-A947-70E740481C1C}">
                        <a14:useLocalDpi xmlns:a14="http://schemas.microsoft.com/office/drawing/2010/main"/>
                      </a:ext>
                    </a:extLst>
                  </a:blip>
                  <a:srcRect/>
                  <a:stretch>
                    <a:fillRect/>
                  </a:stretch>
                </pic:blipFill>
                <pic:spPr bwMode="auto">
                  <a:xfrm>
                    <a:off x="0" y="0"/>
                    <a:ext cx="1599013" cy="757057"/>
                  </a:xfrm>
                  <a:prstGeom prst="rect">
                    <a:avLst/>
                  </a:prstGeom>
                  <a:noFill/>
                </pic:spPr>
              </pic:pic>
            </a:graphicData>
          </a:graphic>
          <wp14:sizeRelH relativeFrom="page">
            <wp14:pctWidth>0</wp14:pctWidth>
          </wp14:sizeRelH>
          <wp14:sizeRelV relativeFrom="page">
            <wp14:pctHeight>0</wp14:pctHeight>
          </wp14:sizeRelV>
        </wp:anchor>
      </w:drawing>
    </w:r>
    <w:r w:rsidR="00434DDF" w:rsidRPr="008A358E">
      <w:rPr>
        <w:rFonts w:asciiTheme="minorHAnsi" w:hAnsiTheme="minorHAnsi" w:cstheme="minorHAnsi"/>
        <w:color w:val="0070C0"/>
        <w:sz w:val="16"/>
        <w:szCs w:val="16"/>
      </w:rPr>
      <w:t xml:space="preserve">                    </w:t>
    </w:r>
    <w:r>
      <w:rPr>
        <w:rFonts w:asciiTheme="minorHAnsi" w:hAnsiTheme="minorHAnsi" w:cstheme="minorHAnsi"/>
        <w:color w:val="0070C0"/>
        <w:sz w:val="16"/>
        <w:szCs w:val="16"/>
      </w:rPr>
      <w:t xml:space="preserve">                   </w:t>
    </w:r>
    <w:r w:rsidR="00434DDF" w:rsidRPr="008A358E">
      <w:rPr>
        <w:rFonts w:asciiTheme="minorHAnsi" w:hAnsiTheme="minorHAnsi" w:cstheme="minorHAnsi"/>
        <w:color w:val="0070C0"/>
        <w:sz w:val="16"/>
        <w:szCs w:val="16"/>
      </w:rPr>
      <w:t xml:space="preserve"> E-mail: pisarnica@daruvarske-toplice.hr, Web: www.daruvarske-toplice.hr </w:t>
    </w:r>
  </w:p>
  <w:p w:rsidR="001249CB" w:rsidRDefault="008A358E" w:rsidP="008A358E">
    <w:pPr>
      <w:rPr>
        <w:rFonts w:asciiTheme="minorHAnsi" w:hAnsiTheme="minorHAnsi" w:cstheme="minorHAnsi"/>
        <w:color w:val="0070C0"/>
        <w:sz w:val="16"/>
        <w:szCs w:val="16"/>
      </w:rPr>
    </w:pPr>
    <w:r>
      <w:rPr>
        <w:rFonts w:asciiTheme="minorHAnsi" w:hAnsiTheme="minorHAnsi" w:cstheme="minorHAnsi"/>
        <w:color w:val="0070C0"/>
        <w:sz w:val="16"/>
        <w:szCs w:val="16"/>
      </w:rPr>
      <w:t xml:space="preserve">                   </w:t>
    </w:r>
    <w:r w:rsidRPr="008A358E">
      <w:rPr>
        <w:rFonts w:asciiTheme="minorHAnsi" w:hAnsiTheme="minorHAnsi" w:cstheme="minorHAnsi"/>
        <w:color w:val="0070C0"/>
        <w:sz w:val="16"/>
        <w:szCs w:val="16"/>
      </w:rPr>
      <w:t xml:space="preserve">                    </w:t>
    </w:r>
  </w:p>
  <w:p w:rsidR="001249CB" w:rsidRDefault="001249CB" w:rsidP="008A358E">
    <w:pPr>
      <w:rPr>
        <w:rFonts w:asciiTheme="minorHAnsi" w:hAnsiTheme="minorHAnsi" w:cstheme="minorHAnsi"/>
        <w:color w:val="0070C0"/>
        <w:sz w:val="16"/>
        <w:szCs w:val="16"/>
      </w:rPr>
    </w:pPr>
  </w:p>
  <w:p w:rsidR="008A358E" w:rsidRPr="001249CB" w:rsidRDefault="001249CB" w:rsidP="008A358E">
    <w:pPr>
      <w:rPr>
        <w:rFonts w:asciiTheme="minorHAnsi" w:hAnsiTheme="minorHAnsi" w:cstheme="minorHAnsi"/>
        <w:b/>
        <w:color w:val="0070C0"/>
        <w:sz w:val="16"/>
        <w:szCs w:val="16"/>
      </w:rPr>
    </w:pPr>
    <w:r>
      <w:rPr>
        <w:rFonts w:asciiTheme="minorHAnsi" w:hAnsiTheme="minorHAnsi" w:cstheme="minorHAnsi"/>
        <w:color w:val="0070C0"/>
        <w:sz w:val="16"/>
        <w:szCs w:val="16"/>
      </w:rPr>
      <w:t xml:space="preserve">                                        </w:t>
    </w:r>
    <w:r w:rsidR="008A358E" w:rsidRPr="001249CB">
      <w:rPr>
        <w:rFonts w:asciiTheme="minorHAnsi" w:hAnsiTheme="minorHAnsi" w:cstheme="minorHAnsi"/>
        <w:b/>
        <w:color w:val="0070C0"/>
        <w:sz w:val="16"/>
        <w:szCs w:val="16"/>
      </w:rPr>
      <w:t>Partner Hrvatskog olimpijskog odbora za preve</w:t>
    </w:r>
    <w:r>
      <w:rPr>
        <w:rFonts w:asciiTheme="minorHAnsi" w:hAnsiTheme="minorHAnsi" w:cstheme="minorHAnsi"/>
        <w:b/>
        <w:color w:val="0070C0"/>
        <w:sz w:val="16"/>
        <w:szCs w:val="16"/>
      </w:rPr>
      <w:t>nciju i rehabilitaciju sportaša</w:t>
    </w:r>
  </w:p>
  <w:p w:rsidR="00A73011" w:rsidRPr="008A358E" w:rsidRDefault="002979B8" w:rsidP="00434DDF">
    <w:pPr>
      <w:pStyle w:val="Podnoje"/>
      <w:ind w:firstLine="1416"/>
      <w:rPr>
        <w:rFonts w:asciiTheme="minorHAnsi" w:hAnsiTheme="minorHAnsi" w:cstheme="minorHAnsi"/>
        <w:color w:val="0070C0"/>
        <w:sz w:val="16"/>
        <w:szCs w:val="16"/>
      </w:rPr>
    </w:pPr>
    <w:r w:rsidRPr="008A358E">
      <w:rPr>
        <w:rFonts w:asciiTheme="minorHAnsi" w:eastAsia="Times New Roman" w:hAnsiTheme="minorHAnsi" w:cstheme="minorHAnsi"/>
        <w:snapToGrid w:val="0"/>
        <w:color w:val="0070C0"/>
        <w:w w:val="0"/>
        <w:sz w:val="16"/>
        <w:szCs w:val="16"/>
        <w:u w:color="000000"/>
        <w:bdr w:val="none" w:sz="0" w:space="0" w:color="000000"/>
        <w:shd w:val="clear" w:color="000000" w:fill="000000"/>
        <w:lang w:val="x-none" w:eastAsia="x-none" w:bidi="x-none"/>
      </w:rPr>
      <w:t xml:space="preserve"> </w:t>
    </w:r>
  </w:p>
  <w:p w:rsidR="00A73011" w:rsidRDefault="00A73011" w:rsidP="008A358E">
    <w:pPr>
      <w:pStyle w:val="Podnoj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ADB" w:rsidRDefault="007A1ADB" w:rsidP="00CA5B69">
      <w:r>
        <w:separator/>
      </w:r>
    </w:p>
  </w:footnote>
  <w:footnote w:type="continuationSeparator" w:id="0">
    <w:p w:rsidR="007A1ADB" w:rsidRDefault="007A1ADB" w:rsidP="00CA5B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011" w:rsidRPr="00EF1277" w:rsidRDefault="008640F0" w:rsidP="002334D0">
    <w:pPr>
      <w:tabs>
        <w:tab w:val="left" w:pos="435"/>
        <w:tab w:val="center" w:pos="4536"/>
      </w:tabs>
      <w:jc w:val="center"/>
      <w:rPr>
        <w:rFonts w:ascii="Arial" w:hAnsi="Arial" w:cs="Arial"/>
        <w:b/>
        <w:color w:val="0070C0"/>
        <w:sz w:val="28"/>
        <w:szCs w:val="28"/>
      </w:rPr>
    </w:pPr>
    <w:r w:rsidRPr="008640F0">
      <w:rPr>
        <w:rFonts w:ascii="Arial" w:hAnsi="Arial" w:cs="Arial"/>
        <w:b/>
        <w:noProof/>
        <w:color w:val="0070C0"/>
        <w:sz w:val="28"/>
        <w:szCs w:val="28"/>
        <w:lang w:eastAsia="hr-HR"/>
      </w:rPr>
      <w:drawing>
        <wp:inline distT="0" distB="0" distL="0" distR="0">
          <wp:extent cx="1272209" cy="1238931"/>
          <wp:effectExtent l="0" t="0" r="4445" b="0"/>
          <wp:docPr id="3" name="Slika 3" descr="\\SRV-FILE\M-disk\DT\logo dt\Novi logo DT\dt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V-FILE\M-disk\DT\logo dt\Novi logo DT\dt_logo.tif"/>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304585" cy="1270460"/>
                  </a:xfrm>
                  <a:prstGeom prst="rect">
                    <a:avLst/>
                  </a:prstGeom>
                  <a:noFill/>
                  <a:ln>
                    <a:noFill/>
                  </a:ln>
                </pic:spPr>
              </pic:pic>
            </a:graphicData>
          </a:graphic>
        </wp:inline>
      </w:drawing>
    </w:r>
  </w:p>
  <w:p w:rsidR="00A73011" w:rsidRPr="003D45B2" w:rsidRDefault="00A73011" w:rsidP="002979B8">
    <w:pPr>
      <w:pStyle w:val="Zaglavlje"/>
      <w:jc w:val="center"/>
      <w:rPr>
        <w:rFonts w:ascii="Times New Roman" w:hAnsi="Times New Roman"/>
        <w:color w:val="0070C0"/>
        <w:sz w:val="24"/>
        <w:szCs w:val="24"/>
      </w:rPr>
    </w:pPr>
    <w:r w:rsidRPr="003D45B2">
      <w:rPr>
        <w:rFonts w:ascii="Times New Roman" w:hAnsi="Times New Roman"/>
        <w:color w:val="0070C0"/>
        <w:sz w:val="24"/>
        <w:szCs w:val="24"/>
      </w:rPr>
      <w:t>Specijalna bolnica za medicinsku rehabilitaciju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C5C74"/>
    <w:multiLevelType w:val="hybridMultilevel"/>
    <w:tmpl w:val="7A64D29A"/>
    <w:lvl w:ilvl="0" w:tplc="532C1C56">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E7A1D53"/>
    <w:multiLevelType w:val="hybridMultilevel"/>
    <w:tmpl w:val="0694D9C8"/>
    <w:lvl w:ilvl="0" w:tplc="906C24A4">
      <w:numFmt w:val="bullet"/>
      <w:lvlText w:val="-"/>
      <w:lvlJc w:val="left"/>
      <w:pPr>
        <w:ind w:left="1305" w:hanging="360"/>
      </w:pPr>
      <w:rPr>
        <w:rFonts w:ascii="Arial" w:eastAsiaTheme="majorEastAsia" w:hAnsi="Arial" w:cs="Arial" w:hint="default"/>
      </w:rPr>
    </w:lvl>
    <w:lvl w:ilvl="1" w:tplc="041A0003" w:tentative="1">
      <w:start w:val="1"/>
      <w:numFmt w:val="bullet"/>
      <w:lvlText w:val="o"/>
      <w:lvlJc w:val="left"/>
      <w:pPr>
        <w:ind w:left="2025" w:hanging="360"/>
      </w:pPr>
      <w:rPr>
        <w:rFonts w:ascii="Courier New" w:hAnsi="Courier New" w:cs="Courier New" w:hint="default"/>
      </w:rPr>
    </w:lvl>
    <w:lvl w:ilvl="2" w:tplc="041A0005" w:tentative="1">
      <w:start w:val="1"/>
      <w:numFmt w:val="bullet"/>
      <w:lvlText w:val=""/>
      <w:lvlJc w:val="left"/>
      <w:pPr>
        <w:ind w:left="2745" w:hanging="360"/>
      </w:pPr>
      <w:rPr>
        <w:rFonts w:ascii="Wingdings" w:hAnsi="Wingdings" w:hint="default"/>
      </w:rPr>
    </w:lvl>
    <w:lvl w:ilvl="3" w:tplc="041A0001" w:tentative="1">
      <w:start w:val="1"/>
      <w:numFmt w:val="bullet"/>
      <w:lvlText w:val=""/>
      <w:lvlJc w:val="left"/>
      <w:pPr>
        <w:ind w:left="3465" w:hanging="360"/>
      </w:pPr>
      <w:rPr>
        <w:rFonts w:ascii="Symbol" w:hAnsi="Symbol" w:hint="default"/>
      </w:rPr>
    </w:lvl>
    <w:lvl w:ilvl="4" w:tplc="041A0003" w:tentative="1">
      <w:start w:val="1"/>
      <w:numFmt w:val="bullet"/>
      <w:lvlText w:val="o"/>
      <w:lvlJc w:val="left"/>
      <w:pPr>
        <w:ind w:left="4185" w:hanging="360"/>
      </w:pPr>
      <w:rPr>
        <w:rFonts w:ascii="Courier New" w:hAnsi="Courier New" w:cs="Courier New" w:hint="default"/>
      </w:rPr>
    </w:lvl>
    <w:lvl w:ilvl="5" w:tplc="041A0005" w:tentative="1">
      <w:start w:val="1"/>
      <w:numFmt w:val="bullet"/>
      <w:lvlText w:val=""/>
      <w:lvlJc w:val="left"/>
      <w:pPr>
        <w:ind w:left="4905" w:hanging="360"/>
      </w:pPr>
      <w:rPr>
        <w:rFonts w:ascii="Wingdings" w:hAnsi="Wingdings" w:hint="default"/>
      </w:rPr>
    </w:lvl>
    <w:lvl w:ilvl="6" w:tplc="041A0001" w:tentative="1">
      <w:start w:val="1"/>
      <w:numFmt w:val="bullet"/>
      <w:lvlText w:val=""/>
      <w:lvlJc w:val="left"/>
      <w:pPr>
        <w:ind w:left="5625" w:hanging="360"/>
      </w:pPr>
      <w:rPr>
        <w:rFonts w:ascii="Symbol" w:hAnsi="Symbol" w:hint="default"/>
      </w:rPr>
    </w:lvl>
    <w:lvl w:ilvl="7" w:tplc="041A0003" w:tentative="1">
      <w:start w:val="1"/>
      <w:numFmt w:val="bullet"/>
      <w:lvlText w:val="o"/>
      <w:lvlJc w:val="left"/>
      <w:pPr>
        <w:ind w:left="6345" w:hanging="360"/>
      </w:pPr>
      <w:rPr>
        <w:rFonts w:ascii="Courier New" w:hAnsi="Courier New" w:cs="Courier New" w:hint="default"/>
      </w:rPr>
    </w:lvl>
    <w:lvl w:ilvl="8" w:tplc="041A0005" w:tentative="1">
      <w:start w:val="1"/>
      <w:numFmt w:val="bullet"/>
      <w:lvlText w:val=""/>
      <w:lvlJc w:val="left"/>
      <w:pPr>
        <w:ind w:left="7065" w:hanging="360"/>
      </w:pPr>
      <w:rPr>
        <w:rFonts w:ascii="Wingdings" w:hAnsi="Wingdings" w:hint="default"/>
      </w:rPr>
    </w:lvl>
  </w:abstractNum>
  <w:abstractNum w:abstractNumId="2" w15:restartNumberingAfterBreak="0">
    <w:nsid w:val="1D962BC3"/>
    <w:multiLevelType w:val="hybridMultilevel"/>
    <w:tmpl w:val="8A4A9CD4"/>
    <w:lvl w:ilvl="0" w:tplc="419C793C">
      <w:start w:val="3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FB160A2"/>
    <w:multiLevelType w:val="hybridMultilevel"/>
    <w:tmpl w:val="1AE884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50C2976"/>
    <w:multiLevelType w:val="hybridMultilevel"/>
    <w:tmpl w:val="DD827DDC"/>
    <w:lvl w:ilvl="0" w:tplc="8E6C2884">
      <w:start w:val="10"/>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5" w15:restartNumberingAfterBreak="0">
    <w:nsid w:val="47C22FDF"/>
    <w:multiLevelType w:val="multilevel"/>
    <w:tmpl w:val="84D41D34"/>
    <w:lvl w:ilvl="0">
      <w:numFmt w:val="bullet"/>
      <w:lvlText w:val="–"/>
      <w:lvlJc w:val="left"/>
      <w:pPr>
        <w:ind w:left="720" w:hanging="360"/>
      </w:pPr>
      <w:rPr>
        <w:rFonts w:ascii="OpenSymbol" w:eastAsia="Times New Roman" w:hAnsi="OpenSymbol"/>
      </w:rPr>
    </w:lvl>
    <w:lvl w:ilvl="1">
      <w:numFmt w:val="bullet"/>
      <w:lvlText w:val="–"/>
      <w:lvlJc w:val="left"/>
      <w:pPr>
        <w:ind w:left="1080" w:hanging="360"/>
      </w:pPr>
      <w:rPr>
        <w:rFonts w:ascii="OpenSymbol" w:eastAsia="Times New Roman" w:hAnsi="OpenSymbol"/>
      </w:rPr>
    </w:lvl>
    <w:lvl w:ilvl="2">
      <w:numFmt w:val="bullet"/>
      <w:lvlText w:val="–"/>
      <w:lvlJc w:val="left"/>
      <w:pPr>
        <w:ind w:left="1440" w:hanging="360"/>
      </w:pPr>
      <w:rPr>
        <w:rFonts w:ascii="OpenSymbol" w:eastAsia="Times New Roman" w:hAnsi="OpenSymbol"/>
      </w:rPr>
    </w:lvl>
    <w:lvl w:ilvl="3">
      <w:numFmt w:val="bullet"/>
      <w:lvlText w:val="–"/>
      <w:lvlJc w:val="left"/>
      <w:pPr>
        <w:ind w:left="1800" w:hanging="360"/>
      </w:pPr>
      <w:rPr>
        <w:rFonts w:ascii="OpenSymbol" w:eastAsia="Times New Roman" w:hAnsi="OpenSymbol"/>
      </w:rPr>
    </w:lvl>
    <w:lvl w:ilvl="4">
      <w:numFmt w:val="bullet"/>
      <w:lvlText w:val="–"/>
      <w:lvlJc w:val="left"/>
      <w:pPr>
        <w:ind w:left="2160" w:hanging="360"/>
      </w:pPr>
      <w:rPr>
        <w:rFonts w:ascii="OpenSymbol" w:eastAsia="Times New Roman" w:hAnsi="OpenSymbol"/>
      </w:rPr>
    </w:lvl>
    <w:lvl w:ilvl="5">
      <w:numFmt w:val="bullet"/>
      <w:lvlText w:val="–"/>
      <w:lvlJc w:val="left"/>
      <w:pPr>
        <w:ind w:left="2520" w:hanging="360"/>
      </w:pPr>
      <w:rPr>
        <w:rFonts w:ascii="OpenSymbol" w:eastAsia="Times New Roman" w:hAnsi="OpenSymbol"/>
      </w:rPr>
    </w:lvl>
    <w:lvl w:ilvl="6">
      <w:numFmt w:val="bullet"/>
      <w:lvlText w:val="–"/>
      <w:lvlJc w:val="left"/>
      <w:pPr>
        <w:ind w:left="2880" w:hanging="360"/>
      </w:pPr>
      <w:rPr>
        <w:rFonts w:ascii="OpenSymbol" w:eastAsia="Times New Roman" w:hAnsi="OpenSymbol"/>
      </w:rPr>
    </w:lvl>
    <w:lvl w:ilvl="7">
      <w:numFmt w:val="bullet"/>
      <w:lvlText w:val="–"/>
      <w:lvlJc w:val="left"/>
      <w:pPr>
        <w:ind w:left="3240" w:hanging="360"/>
      </w:pPr>
      <w:rPr>
        <w:rFonts w:ascii="OpenSymbol" w:eastAsia="Times New Roman" w:hAnsi="OpenSymbol"/>
      </w:rPr>
    </w:lvl>
    <w:lvl w:ilvl="8">
      <w:numFmt w:val="bullet"/>
      <w:lvlText w:val="–"/>
      <w:lvlJc w:val="left"/>
      <w:pPr>
        <w:ind w:left="3600" w:hanging="360"/>
      </w:pPr>
      <w:rPr>
        <w:rFonts w:ascii="OpenSymbol" w:eastAsia="Times New Roman" w:hAnsi="OpenSymbol"/>
      </w:rPr>
    </w:lvl>
  </w:abstractNum>
  <w:abstractNum w:abstractNumId="6" w15:restartNumberingAfterBreak="0">
    <w:nsid w:val="539F4CCA"/>
    <w:multiLevelType w:val="hybridMultilevel"/>
    <w:tmpl w:val="21B09E7C"/>
    <w:lvl w:ilvl="0" w:tplc="B3A68462">
      <w:start w:val="10"/>
      <w:numFmt w:val="bullet"/>
      <w:lvlText w:val="-"/>
      <w:lvlJc w:val="left"/>
      <w:pPr>
        <w:ind w:left="1776" w:hanging="360"/>
      </w:pPr>
      <w:rPr>
        <w:rFonts w:ascii="Times New Roman" w:eastAsia="Times New Roman" w:hAnsi="Times New Roman" w:cs="Times New Roman" w:hint="default"/>
        <w:b w:val="0"/>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7" w15:restartNumberingAfterBreak="0">
    <w:nsid w:val="60545236"/>
    <w:multiLevelType w:val="hybridMultilevel"/>
    <w:tmpl w:val="B1AE1428"/>
    <w:lvl w:ilvl="0" w:tplc="528E9200">
      <w:numFmt w:val="bullet"/>
      <w:lvlText w:val="-"/>
      <w:lvlJc w:val="left"/>
      <w:pPr>
        <w:ind w:left="1770" w:hanging="360"/>
      </w:pPr>
      <w:rPr>
        <w:rFonts w:ascii="Times New Roman" w:eastAsia="Times New Roman" w:hAnsi="Times New Roman" w:cs="Times New Roman" w:hint="default"/>
        <w:b w:val="0"/>
      </w:rPr>
    </w:lvl>
    <w:lvl w:ilvl="1" w:tplc="041A0003" w:tentative="1">
      <w:start w:val="1"/>
      <w:numFmt w:val="bullet"/>
      <w:lvlText w:val="o"/>
      <w:lvlJc w:val="left"/>
      <w:pPr>
        <w:ind w:left="2490" w:hanging="360"/>
      </w:pPr>
      <w:rPr>
        <w:rFonts w:ascii="Courier New" w:hAnsi="Courier New" w:cs="Courier New" w:hint="default"/>
      </w:rPr>
    </w:lvl>
    <w:lvl w:ilvl="2" w:tplc="041A0005" w:tentative="1">
      <w:start w:val="1"/>
      <w:numFmt w:val="bullet"/>
      <w:lvlText w:val=""/>
      <w:lvlJc w:val="left"/>
      <w:pPr>
        <w:ind w:left="3210" w:hanging="360"/>
      </w:pPr>
      <w:rPr>
        <w:rFonts w:ascii="Wingdings" w:hAnsi="Wingdings" w:hint="default"/>
      </w:rPr>
    </w:lvl>
    <w:lvl w:ilvl="3" w:tplc="041A0001" w:tentative="1">
      <w:start w:val="1"/>
      <w:numFmt w:val="bullet"/>
      <w:lvlText w:val=""/>
      <w:lvlJc w:val="left"/>
      <w:pPr>
        <w:ind w:left="3930" w:hanging="360"/>
      </w:pPr>
      <w:rPr>
        <w:rFonts w:ascii="Symbol" w:hAnsi="Symbol" w:hint="default"/>
      </w:rPr>
    </w:lvl>
    <w:lvl w:ilvl="4" w:tplc="041A0003" w:tentative="1">
      <w:start w:val="1"/>
      <w:numFmt w:val="bullet"/>
      <w:lvlText w:val="o"/>
      <w:lvlJc w:val="left"/>
      <w:pPr>
        <w:ind w:left="4650" w:hanging="360"/>
      </w:pPr>
      <w:rPr>
        <w:rFonts w:ascii="Courier New" w:hAnsi="Courier New" w:cs="Courier New" w:hint="default"/>
      </w:rPr>
    </w:lvl>
    <w:lvl w:ilvl="5" w:tplc="041A0005" w:tentative="1">
      <w:start w:val="1"/>
      <w:numFmt w:val="bullet"/>
      <w:lvlText w:val=""/>
      <w:lvlJc w:val="left"/>
      <w:pPr>
        <w:ind w:left="5370" w:hanging="360"/>
      </w:pPr>
      <w:rPr>
        <w:rFonts w:ascii="Wingdings" w:hAnsi="Wingdings" w:hint="default"/>
      </w:rPr>
    </w:lvl>
    <w:lvl w:ilvl="6" w:tplc="041A0001" w:tentative="1">
      <w:start w:val="1"/>
      <w:numFmt w:val="bullet"/>
      <w:lvlText w:val=""/>
      <w:lvlJc w:val="left"/>
      <w:pPr>
        <w:ind w:left="6090" w:hanging="360"/>
      </w:pPr>
      <w:rPr>
        <w:rFonts w:ascii="Symbol" w:hAnsi="Symbol" w:hint="default"/>
      </w:rPr>
    </w:lvl>
    <w:lvl w:ilvl="7" w:tplc="041A0003" w:tentative="1">
      <w:start w:val="1"/>
      <w:numFmt w:val="bullet"/>
      <w:lvlText w:val="o"/>
      <w:lvlJc w:val="left"/>
      <w:pPr>
        <w:ind w:left="6810" w:hanging="360"/>
      </w:pPr>
      <w:rPr>
        <w:rFonts w:ascii="Courier New" w:hAnsi="Courier New" w:cs="Courier New" w:hint="default"/>
      </w:rPr>
    </w:lvl>
    <w:lvl w:ilvl="8" w:tplc="041A0005" w:tentative="1">
      <w:start w:val="1"/>
      <w:numFmt w:val="bullet"/>
      <w:lvlText w:val=""/>
      <w:lvlJc w:val="left"/>
      <w:pPr>
        <w:ind w:left="7530" w:hanging="360"/>
      </w:pPr>
      <w:rPr>
        <w:rFonts w:ascii="Wingdings" w:hAnsi="Wingdings" w:hint="default"/>
      </w:rPr>
    </w:lvl>
  </w:abstractNum>
  <w:abstractNum w:abstractNumId="8" w15:restartNumberingAfterBreak="0">
    <w:nsid w:val="6A5801DC"/>
    <w:multiLevelType w:val="hybridMultilevel"/>
    <w:tmpl w:val="66240F82"/>
    <w:lvl w:ilvl="0" w:tplc="B23E9A7A">
      <w:start w:val="1"/>
      <w:numFmt w:val="decimal"/>
      <w:lvlText w:val="%1."/>
      <w:lvlJc w:val="left"/>
      <w:pPr>
        <w:ind w:left="720" w:hanging="360"/>
      </w:pPr>
      <w:rPr>
        <w:rFonts w:ascii="Times New Roman" w:eastAsia="Times New Roman" w:hAnsi="Times New Roman" w:cs="Times New Roman"/>
        <w:b/>
      </w:rPr>
    </w:lvl>
    <w:lvl w:ilvl="1" w:tplc="B6AECEE6">
      <w:start w:val="1"/>
      <w:numFmt w:val="upperRoman"/>
      <w:lvlText w:val="%2."/>
      <w:lvlJc w:val="left"/>
      <w:pPr>
        <w:ind w:left="1440" w:hanging="360"/>
      </w:pPr>
      <w:rPr>
        <w:rFonts w:ascii="Times New Roman" w:eastAsia="Times New Roman" w:hAnsi="Times New Roman" w:cs="Times New Roman"/>
      </w:rPr>
    </w:lvl>
    <w:lvl w:ilvl="2" w:tplc="3DE28FC4">
      <w:start w:val="1"/>
      <w:numFmt w:val="decimal"/>
      <w:lvlText w:val="%3."/>
      <w:lvlJc w:val="right"/>
      <w:pPr>
        <w:ind w:left="2160" w:hanging="180"/>
      </w:pPr>
      <w:rPr>
        <w:rFonts w:ascii="Times New Roman" w:eastAsia="Times New Roman" w:hAnsi="Times New Roman" w:cs="Times New Roman"/>
      </w:r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C0E777E"/>
    <w:multiLevelType w:val="hybridMultilevel"/>
    <w:tmpl w:val="B058D560"/>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num w:numId="1">
    <w:abstractNumId w:val="5"/>
  </w:num>
  <w:num w:numId="2">
    <w:abstractNumId w:val="0"/>
  </w:num>
  <w:num w:numId="3">
    <w:abstractNumId w:val="9"/>
  </w:num>
  <w:num w:numId="4">
    <w:abstractNumId w:val="1"/>
  </w:num>
  <w:num w:numId="5">
    <w:abstractNumId w:val="3"/>
  </w:num>
  <w:num w:numId="6">
    <w:abstractNumId w:val="8"/>
  </w:num>
  <w:num w:numId="7">
    <w:abstractNumId w:val="7"/>
  </w:num>
  <w:num w:numId="8">
    <w:abstractNumId w:val="6"/>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85E"/>
    <w:rsid w:val="00005CE8"/>
    <w:rsid w:val="0001395F"/>
    <w:rsid w:val="00042B6C"/>
    <w:rsid w:val="00057A06"/>
    <w:rsid w:val="00072FD5"/>
    <w:rsid w:val="00074F54"/>
    <w:rsid w:val="000918A0"/>
    <w:rsid w:val="000A747C"/>
    <w:rsid w:val="000C5034"/>
    <w:rsid w:val="000C53D7"/>
    <w:rsid w:val="000E2C8A"/>
    <w:rsid w:val="000E71F4"/>
    <w:rsid w:val="001015E1"/>
    <w:rsid w:val="00103BEA"/>
    <w:rsid w:val="00106CD0"/>
    <w:rsid w:val="001108DF"/>
    <w:rsid w:val="001249CB"/>
    <w:rsid w:val="0012578C"/>
    <w:rsid w:val="00132330"/>
    <w:rsid w:val="0015668C"/>
    <w:rsid w:val="00170A75"/>
    <w:rsid w:val="00182A2F"/>
    <w:rsid w:val="00185F08"/>
    <w:rsid w:val="001A333E"/>
    <w:rsid w:val="001A3EAC"/>
    <w:rsid w:val="001A3F40"/>
    <w:rsid w:val="001B1C1C"/>
    <w:rsid w:val="001C1DD4"/>
    <w:rsid w:val="001D3886"/>
    <w:rsid w:val="001E4DB9"/>
    <w:rsid w:val="001F0291"/>
    <w:rsid w:val="00202293"/>
    <w:rsid w:val="00212675"/>
    <w:rsid w:val="0022626E"/>
    <w:rsid w:val="002318E1"/>
    <w:rsid w:val="002334D0"/>
    <w:rsid w:val="00242D43"/>
    <w:rsid w:val="00257686"/>
    <w:rsid w:val="00270549"/>
    <w:rsid w:val="00277B0C"/>
    <w:rsid w:val="002979B8"/>
    <w:rsid w:val="002A3071"/>
    <w:rsid w:val="002B224F"/>
    <w:rsid w:val="002C26E1"/>
    <w:rsid w:val="002D4F48"/>
    <w:rsid w:val="002E3CE1"/>
    <w:rsid w:val="002E63BD"/>
    <w:rsid w:val="002F29B2"/>
    <w:rsid w:val="002F5184"/>
    <w:rsid w:val="00302128"/>
    <w:rsid w:val="00311716"/>
    <w:rsid w:val="003336C3"/>
    <w:rsid w:val="00334EB3"/>
    <w:rsid w:val="003751AF"/>
    <w:rsid w:val="00386DD1"/>
    <w:rsid w:val="00391B5A"/>
    <w:rsid w:val="00397B86"/>
    <w:rsid w:val="003A4787"/>
    <w:rsid w:val="003B0FE3"/>
    <w:rsid w:val="003B365A"/>
    <w:rsid w:val="003B60D9"/>
    <w:rsid w:val="003D45B2"/>
    <w:rsid w:val="003E0D61"/>
    <w:rsid w:val="003E7D64"/>
    <w:rsid w:val="003F495E"/>
    <w:rsid w:val="003F76FB"/>
    <w:rsid w:val="00434DDF"/>
    <w:rsid w:val="00441D80"/>
    <w:rsid w:val="00442B83"/>
    <w:rsid w:val="00455B28"/>
    <w:rsid w:val="00465613"/>
    <w:rsid w:val="004662F5"/>
    <w:rsid w:val="00476812"/>
    <w:rsid w:val="004913FF"/>
    <w:rsid w:val="0049706B"/>
    <w:rsid w:val="004C77B4"/>
    <w:rsid w:val="004D58DB"/>
    <w:rsid w:val="004F1043"/>
    <w:rsid w:val="005000CD"/>
    <w:rsid w:val="005014D9"/>
    <w:rsid w:val="00505410"/>
    <w:rsid w:val="00537FBB"/>
    <w:rsid w:val="00551F8C"/>
    <w:rsid w:val="00553F75"/>
    <w:rsid w:val="0056480F"/>
    <w:rsid w:val="00565F60"/>
    <w:rsid w:val="00570C3A"/>
    <w:rsid w:val="00575BF5"/>
    <w:rsid w:val="005865DF"/>
    <w:rsid w:val="00593F3C"/>
    <w:rsid w:val="005C05E3"/>
    <w:rsid w:val="005C1B87"/>
    <w:rsid w:val="005D136F"/>
    <w:rsid w:val="005D5B44"/>
    <w:rsid w:val="005D7F49"/>
    <w:rsid w:val="005E318F"/>
    <w:rsid w:val="005F061B"/>
    <w:rsid w:val="005F4470"/>
    <w:rsid w:val="005F7185"/>
    <w:rsid w:val="00604610"/>
    <w:rsid w:val="00605E68"/>
    <w:rsid w:val="006149B2"/>
    <w:rsid w:val="006149BA"/>
    <w:rsid w:val="006178D7"/>
    <w:rsid w:val="00640E33"/>
    <w:rsid w:val="00650640"/>
    <w:rsid w:val="00665F4D"/>
    <w:rsid w:val="006760AB"/>
    <w:rsid w:val="006819F0"/>
    <w:rsid w:val="00694C05"/>
    <w:rsid w:val="006965AA"/>
    <w:rsid w:val="00696F95"/>
    <w:rsid w:val="006B306D"/>
    <w:rsid w:val="006B3DB6"/>
    <w:rsid w:val="006B6DBB"/>
    <w:rsid w:val="006C131C"/>
    <w:rsid w:val="006D6AD3"/>
    <w:rsid w:val="006E747B"/>
    <w:rsid w:val="006F1596"/>
    <w:rsid w:val="0070326F"/>
    <w:rsid w:val="00705E70"/>
    <w:rsid w:val="00722BAD"/>
    <w:rsid w:val="0073002E"/>
    <w:rsid w:val="00732E8C"/>
    <w:rsid w:val="00741922"/>
    <w:rsid w:val="00741D20"/>
    <w:rsid w:val="00742D41"/>
    <w:rsid w:val="00743CF9"/>
    <w:rsid w:val="007462B7"/>
    <w:rsid w:val="00772259"/>
    <w:rsid w:val="00782FC6"/>
    <w:rsid w:val="00796213"/>
    <w:rsid w:val="0079741A"/>
    <w:rsid w:val="007A1ADB"/>
    <w:rsid w:val="007A2AB2"/>
    <w:rsid w:val="007B044E"/>
    <w:rsid w:val="007B0887"/>
    <w:rsid w:val="007B5104"/>
    <w:rsid w:val="007C4B04"/>
    <w:rsid w:val="007C7EE9"/>
    <w:rsid w:val="007D4571"/>
    <w:rsid w:val="007D69CC"/>
    <w:rsid w:val="007E3B6A"/>
    <w:rsid w:val="007F5DFC"/>
    <w:rsid w:val="00805AAC"/>
    <w:rsid w:val="00806318"/>
    <w:rsid w:val="008067B7"/>
    <w:rsid w:val="008266AE"/>
    <w:rsid w:val="0083646D"/>
    <w:rsid w:val="00850331"/>
    <w:rsid w:val="00853482"/>
    <w:rsid w:val="00861158"/>
    <w:rsid w:val="008640F0"/>
    <w:rsid w:val="008878D7"/>
    <w:rsid w:val="008A358E"/>
    <w:rsid w:val="008E60FC"/>
    <w:rsid w:val="009004CB"/>
    <w:rsid w:val="00932B5C"/>
    <w:rsid w:val="009340FB"/>
    <w:rsid w:val="00940BD5"/>
    <w:rsid w:val="009543F1"/>
    <w:rsid w:val="009579DA"/>
    <w:rsid w:val="0096493B"/>
    <w:rsid w:val="00976646"/>
    <w:rsid w:val="0098356C"/>
    <w:rsid w:val="009959C8"/>
    <w:rsid w:val="009B185E"/>
    <w:rsid w:val="009C131E"/>
    <w:rsid w:val="009C1749"/>
    <w:rsid w:val="009C5B7F"/>
    <w:rsid w:val="009D02E2"/>
    <w:rsid w:val="009D2956"/>
    <w:rsid w:val="009F3523"/>
    <w:rsid w:val="00A04C0C"/>
    <w:rsid w:val="00A24165"/>
    <w:rsid w:val="00A536A2"/>
    <w:rsid w:val="00A53C4A"/>
    <w:rsid w:val="00A60D1B"/>
    <w:rsid w:val="00A623F7"/>
    <w:rsid w:val="00A62F5C"/>
    <w:rsid w:val="00A73011"/>
    <w:rsid w:val="00A74E88"/>
    <w:rsid w:val="00A83A30"/>
    <w:rsid w:val="00AB33DC"/>
    <w:rsid w:val="00AB6891"/>
    <w:rsid w:val="00AD11AB"/>
    <w:rsid w:val="00AE0B65"/>
    <w:rsid w:val="00AE5F4F"/>
    <w:rsid w:val="00AE7055"/>
    <w:rsid w:val="00AF466B"/>
    <w:rsid w:val="00B00592"/>
    <w:rsid w:val="00B01AAD"/>
    <w:rsid w:val="00B13DCB"/>
    <w:rsid w:val="00B163BD"/>
    <w:rsid w:val="00B20E45"/>
    <w:rsid w:val="00B37D98"/>
    <w:rsid w:val="00B45EEE"/>
    <w:rsid w:val="00B51440"/>
    <w:rsid w:val="00B63388"/>
    <w:rsid w:val="00B6734D"/>
    <w:rsid w:val="00B6785E"/>
    <w:rsid w:val="00BA0525"/>
    <w:rsid w:val="00BB5453"/>
    <w:rsid w:val="00BB6C04"/>
    <w:rsid w:val="00BC32B0"/>
    <w:rsid w:val="00BD535B"/>
    <w:rsid w:val="00C00689"/>
    <w:rsid w:val="00C2337F"/>
    <w:rsid w:val="00C25BAE"/>
    <w:rsid w:val="00C27A0C"/>
    <w:rsid w:val="00C47DE2"/>
    <w:rsid w:val="00C6533C"/>
    <w:rsid w:val="00C661EB"/>
    <w:rsid w:val="00CA3864"/>
    <w:rsid w:val="00CA5B69"/>
    <w:rsid w:val="00CA7F39"/>
    <w:rsid w:val="00CC5A42"/>
    <w:rsid w:val="00CD15E9"/>
    <w:rsid w:val="00CF4842"/>
    <w:rsid w:val="00CF67ED"/>
    <w:rsid w:val="00D16CF2"/>
    <w:rsid w:val="00D21832"/>
    <w:rsid w:val="00D24653"/>
    <w:rsid w:val="00D357B0"/>
    <w:rsid w:val="00D36C17"/>
    <w:rsid w:val="00D40E1B"/>
    <w:rsid w:val="00D50457"/>
    <w:rsid w:val="00D50DDA"/>
    <w:rsid w:val="00D52ED3"/>
    <w:rsid w:val="00D56E03"/>
    <w:rsid w:val="00D65F04"/>
    <w:rsid w:val="00D74CD2"/>
    <w:rsid w:val="00D828F5"/>
    <w:rsid w:val="00D87FCD"/>
    <w:rsid w:val="00D91351"/>
    <w:rsid w:val="00DB25DF"/>
    <w:rsid w:val="00DD114B"/>
    <w:rsid w:val="00DD506E"/>
    <w:rsid w:val="00E066C3"/>
    <w:rsid w:val="00E22A8E"/>
    <w:rsid w:val="00E26FA2"/>
    <w:rsid w:val="00E30085"/>
    <w:rsid w:val="00E4236C"/>
    <w:rsid w:val="00E46AE3"/>
    <w:rsid w:val="00E50A4E"/>
    <w:rsid w:val="00E52030"/>
    <w:rsid w:val="00E60A89"/>
    <w:rsid w:val="00E74341"/>
    <w:rsid w:val="00E76302"/>
    <w:rsid w:val="00E80927"/>
    <w:rsid w:val="00EA4DF4"/>
    <w:rsid w:val="00EF1277"/>
    <w:rsid w:val="00F0114C"/>
    <w:rsid w:val="00F11274"/>
    <w:rsid w:val="00F16253"/>
    <w:rsid w:val="00F37E7D"/>
    <w:rsid w:val="00F80D9B"/>
    <w:rsid w:val="00F83E4B"/>
    <w:rsid w:val="00F85F42"/>
    <w:rsid w:val="00F91933"/>
    <w:rsid w:val="00FD3D27"/>
    <w:rsid w:val="00FE6194"/>
    <w:rsid w:val="00FF497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5:docId w15:val="{B54C6BE6-EA97-45EE-9E28-1CF060E5D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4CB"/>
    <w:pPr>
      <w:suppressAutoHyphens/>
    </w:pPr>
    <w:rPr>
      <w:rFonts w:ascii="Times New Roman" w:eastAsia="Times New Roman" w:hAnsi="Times New Roman"/>
      <w:sz w:val="24"/>
      <w:szCs w:val="24"/>
      <w:lang w:eastAsia="ar-SA"/>
    </w:rPr>
  </w:style>
  <w:style w:type="paragraph" w:styleId="Naslov4">
    <w:name w:val="heading 4"/>
    <w:basedOn w:val="Normal"/>
    <w:next w:val="Normal"/>
    <w:link w:val="Naslov4Char"/>
    <w:uiPriority w:val="99"/>
    <w:qFormat/>
    <w:rsid w:val="009004CB"/>
    <w:pPr>
      <w:keepNext/>
      <w:suppressAutoHyphens w:val="0"/>
      <w:ind w:firstLine="720"/>
      <w:jc w:val="center"/>
      <w:outlineLvl w:val="3"/>
    </w:pPr>
    <w:rPr>
      <w:szCs w:val="20"/>
      <w:lang w:eastAsia="hr-HR"/>
    </w:rPr>
  </w:style>
  <w:style w:type="paragraph" w:styleId="Naslov6">
    <w:name w:val="heading 6"/>
    <w:basedOn w:val="Normal"/>
    <w:next w:val="Normal"/>
    <w:link w:val="Naslov6Char"/>
    <w:qFormat/>
    <w:locked/>
    <w:rsid w:val="00B163BD"/>
    <w:pPr>
      <w:spacing w:before="240" w:after="60"/>
      <w:outlineLvl w:val="5"/>
    </w:pPr>
    <w:rPr>
      <w:rFonts w:eastAsia="Calibri"/>
      <w:b/>
      <w:bCs/>
      <w:sz w:val="22"/>
      <w:szCs w:val="22"/>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4Char">
    <w:name w:val="Naslov 4 Char"/>
    <w:basedOn w:val="Zadanifontodlomka"/>
    <w:link w:val="Naslov4"/>
    <w:uiPriority w:val="99"/>
    <w:locked/>
    <w:rsid w:val="009004CB"/>
    <w:rPr>
      <w:rFonts w:ascii="Times New Roman" w:hAnsi="Times New Roman" w:cs="Times New Roman"/>
      <w:sz w:val="20"/>
      <w:szCs w:val="20"/>
      <w:lang w:eastAsia="hr-HR"/>
    </w:rPr>
  </w:style>
  <w:style w:type="paragraph" w:styleId="StandardWeb">
    <w:name w:val="Normal (Web)"/>
    <w:basedOn w:val="Normal"/>
    <w:uiPriority w:val="99"/>
    <w:semiHidden/>
    <w:rsid w:val="00B6785E"/>
    <w:pPr>
      <w:spacing w:before="100" w:beforeAutospacing="1" w:after="100" w:afterAutospacing="1"/>
    </w:pPr>
    <w:rPr>
      <w:lang w:eastAsia="hr-HR"/>
    </w:rPr>
  </w:style>
  <w:style w:type="character" w:customStyle="1" w:styleId="apple-converted-space">
    <w:name w:val="apple-converted-space"/>
    <w:basedOn w:val="Zadanifontodlomka"/>
    <w:uiPriority w:val="99"/>
    <w:rsid w:val="00B6785E"/>
    <w:rPr>
      <w:rFonts w:cs="Times New Roman"/>
    </w:rPr>
  </w:style>
  <w:style w:type="character" w:customStyle="1" w:styleId="misljenjalabela">
    <w:name w:val="misljenjalabela"/>
    <w:basedOn w:val="Zadanifontodlomka"/>
    <w:uiPriority w:val="99"/>
    <w:rsid w:val="00B6785E"/>
    <w:rPr>
      <w:rFonts w:cs="Times New Roman"/>
    </w:rPr>
  </w:style>
  <w:style w:type="paragraph" w:customStyle="1" w:styleId="t-10-9-kurz-s">
    <w:name w:val="t-10-9-kurz-s"/>
    <w:basedOn w:val="Normal"/>
    <w:uiPriority w:val="99"/>
    <w:rsid w:val="00B6785E"/>
    <w:pPr>
      <w:suppressAutoHyphens w:val="0"/>
      <w:spacing w:before="100" w:beforeAutospacing="1" w:after="100" w:afterAutospacing="1"/>
    </w:pPr>
    <w:rPr>
      <w:rFonts w:eastAsia="Calibri"/>
      <w:lang w:eastAsia="hr-HR"/>
    </w:rPr>
  </w:style>
  <w:style w:type="paragraph" w:customStyle="1" w:styleId="clanak">
    <w:name w:val="clanak"/>
    <w:basedOn w:val="Normal"/>
    <w:uiPriority w:val="99"/>
    <w:rsid w:val="00B6785E"/>
    <w:pPr>
      <w:spacing w:before="100" w:beforeAutospacing="1" w:after="100" w:afterAutospacing="1"/>
    </w:pPr>
    <w:rPr>
      <w:lang w:eastAsia="hr-HR"/>
    </w:rPr>
  </w:style>
  <w:style w:type="paragraph" w:customStyle="1" w:styleId="t-9-8">
    <w:name w:val="t-9-8"/>
    <w:basedOn w:val="Normal"/>
    <w:rsid w:val="00B6785E"/>
    <w:pPr>
      <w:spacing w:before="100" w:beforeAutospacing="1" w:after="100" w:afterAutospacing="1"/>
    </w:pPr>
    <w:rPr>
      <w:lang w:eastAsia="hr-HR"/>
    </w:rPr>
  </w:style>
  <w:style w:type="paragraph" w:styleId="Zaglavlje">
    <w:name w:val="header"/>
    <w:aliases w:val="Char,Char Char Char Char Char, Char,Header1"/>
    <w:basedOn w:val="Normal"/>
    <w:link w:val="ZaglavljeChar"/>
    <w:uiPriority w:val="99"/>
    <w:rsid w:val="00CA5B69"/>
    <w:pPr>
      <w:tabs>
        <w:tab w:val="center" w:pos="4536"/>
        <w:tab w:val="right" w:pos="9072"/>
      </w:tabs>
      <w:suppressAutoHyphens w:val="0"/>
    </w:pPr>
    <w:rPr>
      <w:rFonts w:ascii="Calibri" w:eastAsia="Calibri" w:hAnsi="Calibri"/>
      <w:sz w:val="22"/>
      <w:szCs w:val="22"/>
      <w:lang w:eastAsia="en-US"/>
    </w:rPr>
  </w:style>
  <w:style w:type="character" w:customStyle="1" w:styleId="ZaglavljeChar">
    <w:name w:val="Zaglavlje Char"/>
    <w:aliases w:val="Char Char,Char Char Char Char Char Char, Char Char,Header1 Char"/>
    <w:basedOn w:val="Zadanifontodlomka"/>
    <w:link w:val="Zaglavlje"/>
    <w:uiPriority w:val="99"/>
    <w:locked/>
    <w:rsid w:val="00CA5B69"/>
    <w:rPr>
      <w:rFonts w:cs="Times New Roman"/>
    </w:rPr>
  </w:style>
  <w:style w:type="paragraph" w:styleId="Podnoje">
    <w:name w:val="footer"/>
    <w:basedOn w:val="Normal"/>
    <w:link w:val="PodnojeChar"/>
    <w:uiPriority w:val="99"/>
    <w:rsid w:val="00CA5B69"/>
    <w:pPr>
      <w:tabs>
        <w:tab w:val="center" w:pos="4536"/>
        <w:tab w:val="right" w:pos="9072"/>
      </w:tabs>
      <w:suppressAutoHyphens w:val="0"/>
    </w:pPr>
    <w:rPr>
      <w:rFonts w:ascii="Calibri" w:eastAsia="Calibri" w:hAnsi="Calibri"/>
      <w:sz w:val="22"/>
      <w:szCs w:val="22"/>
      <w:lang w:eastAsia="en-US"/>
    </w:rPr>
  </w:style>
  <w:style w:type="character" w:customStyle="1" w:styleId="PodnojeChar">
    <w:name w:val="Podnožje Char"/>
    <w:basedOn w:val="Zadanifontodlomka"/>
    <w:link w:val="Podnoje"/>
    <w:uiPriority w:val="99"/>
    <w:locked/>
    <w:rsid w:val="00CA5B69"/>
    <w:rPr>
      <w:rFonts w:cs="Times New Roman"/>
    </w:rPr>
  </w:style>
  <w:style w:type="paragraph" w:styleId="Odlomakpopisa">
    <w:name w:val="List Paragraph"/>
    <w:basedOn w:val="Normal"/>
    <w:uiPriority w:val="34"/>
    <w:qFormat/>
    <w:rsid w:val="009004CB"/>
    <w:pPr>
      <w:ind w:left="720"/>
      <w:contextualSpacing/>
    </w:pPr>
  </w:style>
  <w:style w:type="paragraph" w:styleId="Uvuenotijeloteksta">
    <w:name w:val="Body Text Indent"/>
    <w:basedOn w:val="Normal"/>
    <w:link w:val="UvuenotijelotekstaChar"/>
    <w:uiPriority w:val="99"/>
    <w:semiHidden/>
    <w:rsid w:val="009004CB"/>
    <w:pPr>
      <w:suppressAutoHyphens w:val="0"/>
      <w:ind w:firstLine="720"/>
      <w:jc w:val="both"/>
    </w:pPr>
    <w:rPr>
      <w:szCs w:val="20"/>
      <w:lang w:eastAsia="hr-HR"/>
    </w:rPr>
  </w:style>
  <w:style w:type="character" w:customStyle="1" w:styleId="UvuenotijelotekstaChar">
    <w:name w:val="Uvučeno tijelo teksta Char"/>
    <w:basedOn w:val="Zadanifontodlomka"/>
    <w:link w:val="Uvuenotijeloteksta"/>
    <w:uiPriority w:val="99"/>
    <w:semiHidden/>
    <w:locked/>
    <w:rsid w:val="009004CB"/>
    <w:rPr>
      <w:rFonts w:ascii="Times New Roman" w:hAnsi="Times New Roman" w:cs="Times New Roman"/>
      <w:sz w:val="20"/>
      <w:szCs w:val="20"/>
      <w:lang w:eastAsia="hr-HR"/>
    </w:rPr>
  </w:style>
  <w:style w:type="paragraph" w:styleId="Tekstbalonia">
    <w:name w:val="Balloon Text"/>
    <w:basedOn w:val="Normal"/>
    <w:link w:val="TekstbaloniaChar"/>
    <w:uiPriority w:val="99"/>
    <w:semiHidden/>
    <w:rsid w:val="009004CB"/>
    <w:rPr>
      <w:rFonts w:ascii="Segoe UI" w:hAnsi="Segoe UI" w:cs="Segoe UI"/>
      <w:sz w:val="18"/>
      <w:szCs w:val="18"/>
    </w:rPr>
  </w:style>
  <w:style w:type="character" w:customStyle="1" w:styleId="TekstbaloniaChar">
    <w:name w:val="Tekst balončića Char"/>
    <w:basedOn w:val="Zadanifontodlomka"/>
    <w:link w:val="Tekstbalonia"/>
    <w:uiPriority w:val="99"/>
    <w:semiHidden/>
    <w:locked/>
    <w:rsid w:val="009004CB"/>
    <w:rPr>
      <w:rFonts w:ascii="Segoe UI" w:hAnsi="Segoe UI" w:cs="Segoe UI"/>
      <w:sz w:val="18"/>
      <w:szCs w:val="18"/>
      <w:lang w:val="en-US" w:eastAsia="ar-SA" w:bidi="ar-SA"/>
    </w:rPr>
  </w:style>
  <w:style w:type="paragraph" w:customStyle="1" w:styleId="Standard">
    <w:name w:val="Standard"/>
    <w:uiPriority w:val="99"/>
    <w:rsid w:val="00BA0525"/>
    <w:pPr>
      <w:suppressAutoHyphens/>
      <w:autoSpaceDN w:val="0"/>
      <w:textAlignment w:val="baseline"/>
    </w:pPr>
    <w:rPr>
      <w:rFonts w:ascii="Times New Roman" w:eastAsia="Times New Roman" w:hAnsi="Times New Roman"/>
      <w:kern w:val="3"/>
      <w:szCs w:val="20"/>
      <w:lang w:val="en-US" w:eastAsia="zh-CN"/>
    </w:rPr>
  </w:style>
  <w:style w:type="character" w:styleId="Hiperveza">
    <w:name w:val="Hyperlink"/>
    <w:basedOn w:val="Zadanifontodlomka"/>
    <w:uiPriority w:val="99"/>
    <w:rsid w:val="003B60D9"/>
    <w:rPr>
      <w:rFonts w:cs="Times New Roman"/>
      <w:color w:val="0000FF"/>
      <w:u w:val="single"/>
    </w:rPr>
  </w:style>
  <w:style w:type="character" w:styleId="SlijeenaHiperveza">
    <w:name w:val="FollowedHyperlink"/>
    <w:basedOn w:val="Zadanifontodlomka"/>
    <w:uiPriority w:val="99"/>
    <w:semiHidden/>
    <w:unhideWhenUsed/>
    <w:rsid w:val="004F1043"/>
    <w:rPr>
      <w:color w:val="800080" w:themeColor="followedHyperlink"/>
      <w:u w:val="single"/>
    </w:rPr>
  </w:style>
  <w:style w:type="character" w:styleId="Istaknuto">
    <w:name w:val="Emphasis"/>
    <w:basedOn w:val="Zadanifontodlomka"/>
    <w:qFormat/>
    <w:locked/>
    <w:rsid w:val="007B0887"/>
    <w:rPr>
      <w:i/>
      <w:iCs/>
    </w:rPr>
  </w:style>
  <w:style w:type="paragraph" w:styleId="Bezproreda">
    <w:name w:val="No Spacing"/>
    <w:uiPriority w:val="1"/>
    <w:qFormat/>
    <w:rsid w:val="00B63388"/>
    <w:pPr>
      <w:suppressAutoHyphens/>
    </w:pPr>
    <w:rPr>
      <w:rFonts w:ascii="Times New Roman" w:eastAsia="Times New Roman" w:hAnsi="Times New Roman"/>
      <w:sz w:val="24"/>
      <w:szCs w:val="24"/>
      <w:lang w:eastAsia="ar-SA"/>
    </w:rPr>
  </w:style>
  <w:style w:type="character" w:styleId="Neupadljivoisticanje">
    <w:name w:val="Subtle Emphasis"/>
    <w:basedOn w:val="Zadanifontodlomka"/>
    <w:uiPriority w:val="19"/>
    <w:qFormat/>
    <w:rsid w:val="00B63388"/>
    <w:rPr>
      <w:i/>
      <w:iCs/>
      <w:color w:val="404040" w:themeColor="text1" w:themeTint="BF"/>
    </w:rPr>
  </w:style>
  <w:style w:type="character" w:customStyle="1" w:styleId="Naslov6Char">
    <w:name w:val="Naslov 6 Char"/>
    <w:basedOn w:val="Zadanifontodlomka"/>
    <w:link w:val="Naslov6"/>
    <w:rsid w:val="00B163BD"/>
    <w:rPr>
      <w:rFonts w:ascii="Times New Roman" w:hAnsi="Times New Roman"/>
      <w:b/>
      <w:bCs/>
      <w:lang w:val="en-US" w:eastAsia="ar-SA"/>
    </w:rPr>
  </w:style>
  <w:style w:type="paragraph" w:styleId="Tijeloteksta-uvlaka2">
    <w:name w:val="Body Text Indent 2"/>
    <w:basedOn w:val="Normal"/>
    <w:link w:val="Tijeloteksta-uvlaka2Char"/>
    <w:rsid w:val="00B163BD"/>
    <w:pPr>
      <w:spacing w:after="120" w:line="480" w:lineRule="auto"/>
      <w:ind w:left="283"/>
    </w:pPr>
    <w:rPr>
      <w:rFonts w:eastAsia="Calibri"/>
      <w:lang w:val="en-US"/>
    </w:rPr>
  </w:style>
  <w:style w:type="character" w:customStyle="1" w:styleId="Tijeloteksta-uvlaka2Char">
    <w:name w:val="Tijelo teksta - uvlaka 2 Char"/>
    <w:basedOn w:val="Zadanifontodlomka"/>
    <w:link w:val="Tijeloteksta-uvlaka2"/>
    <w:rsid w:val="00B163BD"/>
    <w:rPr>
      <w:rFonts w:ascii="Times New Roman" w:hAnsi="Times New Roman"/>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944085">
      <w:bodyDiv w:val="1"/>
      <w:marLeft w:val="0"/>
      <w:marRight w:val="0"/>
      <w:marTop w:val="0"/>
      <w:marBottom w:val="0"/>
      <w:divBdr>
        <w:top w:val="none" w:sz="0" w:space="0" w:color="auto"/>
        <w:left w:val="none" w:sz="0" w:space="0" w:color="auto"/>
        <w:bottom w:val="none" w:sz="0" w:space="0" w:color="auto"/>
        <w:right w:val="none" w:sz="0" w:space="0" w:color="auto"/>
      </w:divBdr>
    </w:div>
    <w:div w:id="1115520189">
      <w:marLeft w:val="0"/>
      <w:marRight w:val="0"/>
      <w:marTop w:val="0"/>
      <w:marBottom w:val="0"/>
      <w:divBdr>
        <w:top w:val="none" w:sz="0" w:space="0" w:color="auto"/>
        <w:left w:val="none" w:sz="0" w:space="0" w:color="auto"/>
        <w:bottom w:val="none" w:sz="0" w:space="0" w:color="auto"/>
        <w:right w:val="none" w:sz="0" w:space="0" w:color="auto"/>
      </w:divBdr>
    </w:div>
    <w:div w:id="1115520190">
      <w:marLeft w:val="0"/>
      <w:marRight w:val="0"/>
      <w:marTop w:val="0"/>
      <w:marBottom w:val="0"/>
      <w:divBdr>
        <w:top w:val="none" w:sz="0" w:space="0" w:color="auto"/>
        <w:left w:val="none" w:sz="0" w:space="0" w:color="auto"/>
        <w:bottom w:val="none" w:sz="0" w:space="0" w:color="auto"/>
        <w:right w:val="none" w:sz="0" w:space="0" w:color="auto"/>
      </w:divBdr>
    </w:div>
    <w:div w:id="168886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1ABB1-4C08-4DF0-8479-8AB5007A5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5</Pages>
  <Words>872</Words>
  <Characters>5396</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Virag-Miota</dc:creator>
  <cp:keywords/>
  <dc:description/>
  <cp:lastModifiedBy>Ivana Starčević</cp:lastModifiedBy>
  <cp:revision>17</cp:revision>
  <cp:lastPrinted>2023-10-18T10:56:00Z</cp:lastPrinted>
  <dcterms:created xsi:type="dcterms:W3CDTF">2023-10-17T11:45:00Z</dcterms:created>
  <dcterms:modified xsi:type="dcterms:W3CDTF">2023-10-18T11:00:00Z</dcterms:modified>
</cp:coreProperties>
</file>